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noProof/>
          <w:lang w:val="es-CO" w:eastAsia="es-CO"/>
        </w:rPr>
        <w:id w:val="-245268822"/>
        <w:docPartObj>
          <w:docPartGallery w:val="Cover Pages"/>
          <w:docPartUnique/>
        </w:docPartObj>
      </w:sdtPr>
      <w:sdtContent>
        <w:p w14:paraId="4AA2A7C7" w14:textId="662A0B8F" w:rsidR="00A448A2" w:rsidRDefault="00A448A2">
          <w:pPr>
            <w:spacing w:after="200"/>
            <w:rPr>
              <w:noProof/>
              <w:lang w:val="es-CO" w:eastAsia="es-CO"/>
            </w:rPr>
          </w:pPr>
          <w:r w:rsidRPr="00A448A2">
            <w:rPr>
              <w:noProof/>
              <w:lang w:val="es-CO" w:eastAsia="es-CO"/>
            </w:rPr>
            <mc:AlternateContent>
              <mc:Choice Requires="wps">
                <w:drawing>
                  <wp:inline distT="0" distB="0" distL="0" distR="0" wp14:anchorId="2D87ADF5" wp14:editId="628304E7">
                    <wp:extent cx="6610350" cy="8743950"/>
                    <wp:effectExtent l="0" t="0" r="0" b="0"/>
                    <wp:docPr id="138" name="Cuadro de texto 138"/>
                    <wp:cNvGraphicFramePr/>
                    <a:graphic xmlns:a="http://schemas.openxmlformats.org/drawingml/2006/main">
                      <a:graphicData uri="http://schemas.microsoft.com/office/word/2010/wordprocessingShape">
                        <wps:wsp>
                          <wps:cNvSpPr txBox="1"/>
                          <wps:spPr>
                            <a:xfrm>
                              <a:off x="0" y="0"/>
                              <a:ext cx="6610350" cy="8743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tblBorders>
                                    <w:insideV w:val="single" w:sz="12" w:space="0" w:color="3592CF" w:themeColor="accent2"/>
                                  </w:tblBorders>
                                  <w:tblCellMar>
                                    <w:top w:w="1296" w:type="dxa"/>
                                    <w:left w:w="360" w:type="dxa"/>
                                    <w:bottom w:w="1296" w:type="dxa"/>
                                    <w:right w:w="360" w:type="dxa"/>
                                  </w:tblCellMar>
                                  <w:tblLook w:val="04A0" w:firstRow="1" w:lastRow="0" w:firstColumn="1" w:lastColumn="0" w:noHBand="0" w:noVBand="1"/>
                                </w:tblPr>
                                <w:tblGrid>
                                  <w:gridCol w:w="7020"/>
                                  <w:gridCol w:w="3365"/>
                                </w:tblGrid>
                                <w:tr w:rsidR="00905318" w14:paraId="1FA110F6" w14:textId="77777777" w:rsidTr="00A448A2">
                                  <w:tc>
                                    <w:tcPr>
                                      <w:tcW w:w="3217" w:type="pct"/>
                                      <w:vAlign w:val="center"/>
                                    </w:tcPr>
                                    <w:p w14:paraId="196D8A41" w14:textId="77F62091" w:rsidR="00905318" w:rsidRDefault="00905318">
                                      <w:pPr>
                                        <w:jc w:val="right"/>
                                      </w:pPr>
                                      <w:r>
                                        <w:rPr>
                                          <w:noProof/>
                                          <w:lang w:val="es-CO" w:eastAsia="es-CO"/>
                                        </w:rPr>
                                        <w:drawing>
                                          <wp:inline distT="0" distB="0" distL="0" distR="0" wp14:anchorId="384C5269" wp14:editId="54E884A3">
                                            <wp:extent cx="3992989" cy="2047875"/>
                                            <wp:effectExtent l="0" t="0" r="7620" b="0"/>
                                            <wp:docPr id="5" name="Imagen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4015860" cy="2059605"/>
                                                    </a:xfrm>
                                                    <a:prstGeom prst="rect">
                                                      <a:avLst/>
                                                    </a:prstGeom>
                                                  </pic:spPr>
                                                </pic:pic>
                                              </a:graphicData>
                                            </a:graphic>
                                          </wp:inline>
                                        </w:drawing>
                                      </w:r>
                                    </w:p>
                                    <w:sdt>
                                      <w:sdtPr>
                                        <w:rPr>
                                          <w:caps/>
                                          <w:color w:val="1B174A" w:themeColor="text1" w:themeTint="E6"/>
                                          <w:sz w:val="72"/>
                                          <w:szCs w:val="72"/>
                                        </w:rPr>
                                        <w:alias w:val="Título"/>
                                        <w:tag w:val=""/>
                                        <w:id w:val="-438379639"/>
                                        <w:showingPlcHdr/>
                                        <w:dataBinding w:prefixMappings="xmlns:ns0='http://purl.org/dc/elements/1.1/' xmlns:ns1='http://schemas.openxmlformats.org/package/2006/metadata/core-properties' " w:xpath="/ns1:coreProperties[1]/ns0:title[1]" w:storeItemID="{6C3C8BC8-F283-45AE-878A-BAB7291924A1}"/>
                                        <w:text/>
                                      </w:sdtPr>
                                      <w:sdtContent>
                                        <w:p w14:paraId="1A5DAFF0" w14:textId="1C85FE1C" w:rsidR="00905318" w:rsidRDefault="00905318">
                                          <w:pPr>
                                            <w:pStyle w:val="Sinespaciado"/>
                                            <w:spacing w:line="312" w:lineRule="auto"/>
                                            <w:jc w:val="right"/>
                                            <w:rPr>
                                              <w:caps/>
                                              <w:color w:val="1B174A" w:themeColor="text1" w:themeTint="E6"/>
                                              <w:sz w:val="72"/>
                                              <w:szCs w:val="72"/>
                                            </w:rPr>
                                          </w:pPr>
                                          <w:r>
                                            <w:rPr>
                                              <w:caps/>
                                              <w:color w:val="1B174A" w:themeColor="text1" w:themeTint="E6"/>
                                              <w:sz w:val="72"/>
                                              <w:szCs w:val="72"/>
                                            </w:rPr>
                                            <w:t xml:space="preserve">     </w:t>
                                          </w:r>
                                        </w:p>
                                      </w:sdtContent>
                                    </w:sdt>
                                    <w:p w14:paraId="1733593D" w14:textId="62678F22" w:rsidR="00905318" w:rsidRDefault="00905318">
                                      <w:pPr>
                                        <w:jc w:val="right"/>
                                        <w:rPr>
                                          <w:sz w:val="24"/>
                                          <w:szCs w:val="24"/>
                                        </w:rPr>
                                      </w:pPr>
                                    </w:p>
                                  </w:tc>
                                  <w:tc>
                                    <w:tcPr>
                                      <w:tcW w:w="1783" w:type="pct"/>
                                      <w:vAlign w:val="center"/>
                                    </w:tcPr>
                                    <w:sdt>
                                      <w:sdtPr>
                                        <w:rPr>
                                          <w:rFonts w:asciiTheme="majorHAnsi" w:eastAsiaTheme="majorEastAsia" w:hAnsiTheme="majorHAnsi" w:cstheme="majorBidi"/>
                                          <w:bCs/>
                                          <w:sz w:val="32"/>
                                          <w:szCs w:val="32"/>
                                          <w:lang w:bidi="es-ES"/>
                                        </w:rPr>
                                        <w:alias w:val="Descripción breve"/>
                                        <w:tag w:val=""/>
                                        <w:id w:val="-2036181933"/>
                                        <w:dataBinding w:prefixMappings="xmlns:ns0='http://schemas.microsoft.com/office/2006/coverPageProps' " w:xpath="/ns0:CoverPageProperties[1]/ns0:Abstract[1]" w:storeItemID="{55AF091B-3C7A-41E3-B477-F2FDAA23CFDA}"/>
                                        <w:text/>
                                      </w:sdtPr>
                                      <w:sdtContent>
                                        <w:p w14:paraId="5B2B8A8A" w14:textId="4646C93B" w:rsidR="00905318" w:rsidRPr="00A448A2" w:rsidRDefault="00905318" w:rsidP="00A448A2">
                                          <w:pPr>
                                            <w:rPr>
                                              <w:color w:val="0F0D29" w:themeColor="text1"/>
                                              <w:sz w:val="12"/>
                                              <w:szCs w:val="8"/>
                                            </w:rPr>
                                          </w:pPr>
                                          <w:r>
                                            <w:rPr>
                                              <w:rFonts w:asciiTheme="majorHAnsi" w:eastAsiaTheme="majorEastAsia" w:hAnsiTheme="majorHAnsi" w:cstheme="majorBidi"/>
                                              <w:bCs/>
                                              <w:sz w:val="32"/>
                                              <w:szCs w:val="32"/>
                                              <w:lang w:bidi="es-ES"/>
                                            </w:rPr>
                                            <w:t>Conoce el Plan Anticorrupción y de Atención al Ciudadano y el Mapa de Riesgos de Corrupción de CORPAMAG para la vigencia 2022.</w:t>
                                          </w:r>
                                        </w:p>
                                      </w:sdtContent>
                                    </w:sdt>
                                    <w:p w14:paraId="306EA447" w14:textId="2BE476F5" w:rsidR="00905318" w:rsidRDefault="00905318">
                                      <w:pPr>
                                        <w:pStyle w:val="Sinespaciado"/>
                                      </w:pPr>
                                    </w:p>
                                  </w:tc>
                                </w:tr>
                              </w:tbl>
                              <w:p w14:paraId="011466B1" w14:textId="77777777" w:rsidR="00905318" w:rsidRDefault="00905318"/>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w14:anchorId="2D87ADF5" id="_x0000_t202" coordsize="21600,21600" o:spt="202" path="m,l,21600r21600,l21600,xe">
                    <v:stroke joinstyle="miter"/>
                    <v:path gradientshapeok="t" o:connecttype="rect"/>
                  </v:shapetype>
                  <v:shape id="Cuadro de texto 138" o:spid="_x0000_s1026" type="#_x0000_t202" style="width:520.5pt;height:6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" fillcolor="white [3201]" stroked="f" strokeweight=".5pt">
                    <v:textbox inset="0,0,0,0">
                      <w:txbxContent>
                        <w:tbl>
                          <w:tblPr>
                            <w:tblW w:w="4993" w:type="pct"/>
                            <w:tblBorders>
                              <w:insideV w:val="single" w:sz="12" w:space="0" w:color="3592CF" w:themeColor="accent2"/>
                            </w:tblBorders>
                            <w:tblCellMar>
                              <w:top w:w="1296" w:type="dxa"/>
                              <w:left w:w="360" w:type="dxa"/>
                              <w:bottom w:w="1296" w:type="dxa"/>
                              <w:right w:w="360" w:type="dxa"/>
                            </w:tblCellMar>
                            <w:tblLook w:val="04A0" w:firstRow="1" w:lastRow="0" w:firstColumn="1" w:lastColumn="0" w:noHBand="0" w:noVBand="1"/>
                          </w:tblPr>
                          <w:tblGrid>
                            <w:gridCol w:w="7020"/>
                            <w:gridCol w:w="3365"/>
                          </w:tblGrid>
                          <w:tr w:rsidR="00905318" w14:paraId="1FA110F6" w14:textId="77777777" w:rsidTr="00A448A2">
                            <w:tc>
                              <w:tcPr>
                                <w:tcW w:w="3217" w:type="pct"/>
                                <w:vAlign w:val="center"/>
                              </w:tcPr>
                              <w:p w14:paraId="196D8A41" w14:textId="77F62091" w:rsidR="00905318" w:rsidRDefault="00905318">
                                <w:pPr>
                                  <w:jc w:val="right"/>
                                </w:pPr>
                                <w:r>
                                  <w:rPr>
                                    <w:noProof/>
                                    <w:lang w:val="es-CO" w:eastAsia="es-CO"/>
                                  </w:rPr>
                                  <w:drawing>
                                    <wp:inline distT="0" distB="0" distL="0" distR="0" wp14:anchorId="384C5269" wp14:editId="54E884A3">
                                      <wp:extent cx="3992989" cy="2047875"/>
                                      <wp:effectExtent l="0" t="0" r="7620" b="0"/>
                                      <wp:docPr id="5" name="Imagen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4015860" cy="2059605"/>
                                              </a:xfrm>
                                              <a:prstGeom prst="rect">
                                                <a:avLst/>
                                              </a:prstGeom>
                                            </pic:spPr>
                                          </pic:pic>
                                        </a:graphicData>
                                      </a:graphic>
                                    </wp:inline>
                                  </w:drawing>
                                </w:r>
                              </w:p>
                              <w:sdt>
                                <w:sdtPr>
                                  <w:rPr>
                                    <w:caps/>
                                    <w:color w:val="1B174A" w:themeColor="text1" w:themeTint="E6"/>
                                    <w:sz w:val="72"/>
                                    <w:szCs w:val="72"/>
                                  </w:rPr>
                                  <w:alias w:val="Título"/>
                                  <w:tag w:val=""/>
                                  <w:id w:val="-438379639"/>
                                  <w:showingPlcHdr/>
                                  <w:dataBinding w:prefixMappings="xmlns:ns0='http://purl.org/dc/elements/1.1/' xmlns:ns1='http://schemas.openxmlformats.org/package/2006/metadata/core-properties' " w:xpath="/ns1:coreProperties[1]/ns0:title[1]" w:storeItemID="{6C3C8BC8-F283-45AE-878A-BAB7291924A1}"/>
                                  <w:text/>
                                </w:sdtPr>
                                <w:sdtContent>
                                  <w:p w14:paraId="1A5DAFF0" w14:textId="1C85FE1C" w:rsidR="00905318" w:rsidRDefault="00905318">
                                    <w:pPr>
                                      <w:pStyle w:val="Sinespaciado"/>
                                      <w:spacing w:line="312" w:lineRule="auto"/>
                                      <w:jc w:val="right"/>
                                      <w:rPr>
                                        <w:caps/>
                                        <w:color w:val="1B174A" w:themeColor="text1" w:themeTint="E6"/>
                                        <w:sz w:val="72"/>
                                        <w:szCs w:val="72"/>
                                      </w:rPr>
                                    </w:pPr>
                                    <w:r>
                                      <w:rPr>
                                        <w:caps/>
                                        <w:color w:val="1B174A" w:themeColor="text1" w:themeTint="E6"/>
                                        <w:sz w:val="72"/>
                                        <w:szCs w:val="72"/>
                                      </w:rPr>
                                      <w:t xml:space="preserve">     </w:t>
                                    </w:r>
                                  </w:p>
                                </w:sdtContent>
                              </w:sdt>
                              <w:p w14:paraId="1733593D" w14:textId="62678F22" w:rsidR="00905318" w:rsidRDefault="00905318">
                                <w:pPr>
                                  <w:jc w:val="right"/>
                                  <w:rPr>
                                    <w:sz w:val="24"/>
                                    <w:szCs w:val="24"/>
                                  </w:rPr>
                                </w:pPr>
                              </w:p>
                            </w:tc>
                            <w:tc>
                              <w:tcPr>
                                <w:tcW w:w="1783" w:type="pct"/>
                                <w:vAlign w:val="center"/>
                              </w:tcPr>
                              <w:sdt>
                                <w:sdtPr>
                                  <w:rPr>
                                    <w:rFonts w:asciiTheme="majorHAnsi" w:eastAsiaTheme="majorEastAsia" w:hAnsiTheme="majorHAnsi" w:cstheme="majorBidi"/>
                                    <w:bCs/>
                                    <w:sz w:val="32"/>
                                    <w:szCs w:val="32"/>
                                    <w:lang w:bidi="es-ES"/>
                                  </w:rPr>
                                  <w:alias w:val="Descripción breve"/>
                                  <w:tag w:val=""/>
                                  <w:id w:val="-2036181933"/>
                                  <w:dataBinding w:prefixMappings="xmlns:ns0='http://schemas.microsoft.com/office/2006/coverPageProps' " w:xpath="/ns0:CoverPageProperties[1]/ns0:Abstract[1]" w:storeItemID="{55AF091B-3C7A-41E3-B477-F2FDAA23CFDA}"/>
                                  <w:text/>
                                </w:sdtPr>
                                <w:sdtContent>
                                  <w:p w14:paraId="5B2B8A8A" w14:textId="4646C93B" w:rsidR="00905318" w:rsidRPr="00A448A2" w:rsidRDefault="00905318" w:rsidP="00A448A2">
                                    <w:pPr>
                                      <w:rPr>
                                        <w:color w:val="0F0D29" w:themeColor="text1"/>
                                        <w:sz w:val="12"/>
                                        <w:szCs w:val="8"/>
                                      </w:rPr>
                                    </w:pPr>
                                    <w:r>
                                      <w:rPr>
                                        <w:rFonts w:asciiTheme="majorHAnsi" w:eastAsiaTheme="majorEastAsia" w:hAnsiTheme="majorHAnsi" w:cstheme="majorBidi"/>
                                        <w:bCs/>
                                        <w:sz w:val="32"/>
                                        <w:szCs w:val="32"/>
                                        <w:lang w:bidi="es-ES"/>
                                      </w:rPr>
                                      <w:t>Conoce el Plan Anticorrupción y de Atención al Ciudadano y el Mapa de Riesgos de Corrupción de CORPAMAG para la vigencia 2022.</w:t>
                                    </w:r>
                                  </w:p>
                                </w:sdtContent>
                              </w:sdt>
                              <w:p w14:paraId="306EA447" w14:textId="2BE476F5" w:rsidR="00905318" w:rsidRDefault="00905318">
                                <w:pPr>
                                  <w:pStyle w:val="Sinespaciado"/>
                                </w:pPr>
                              </w:p>
                            </w:tc>
                          </w:tr>
                        </w:tbl>
                        <w:p w14:paraId="011466B1" w14:textId="77777777" w:rsidR="00905318" w:rsidRDefault="00905318"/>
                      </w:txbxContent>
                    </v:textbox>
                    <w10:anchorlock/>
                  </v:shape>
                </w:pict>
              </mc:Fallback>
            </mc:AlternateContent>
          </w:r>
          <w:r w:rsidRPr="00D967AC">
            <w:rPr>
              <w:noProof/>
              <w:lang w:val="es-CO" w:eastAsia="es-CO"/>
            </w:rPr>
            <w:drawing>
              <wp:anchor distT="0" distB="0" distL="114300" distR="114300" simplePos="0" relativeHeight="251661312" behindDoc="0" locked="0" layoutInCell="1" allowOverlap="1" wp14:anchorId="1D6FC39B" wp14:editId="767C4EE6">
                <wp:simplePos x="0" y="0"/>
                <wp:positionH relativeFrom="margin">
                  <wp:posOffset>3963670</wp:posOffset>
                </wp:positionH>
                <wp:positionV relativeFrom="page">
                  <wp:posOffset>466725</wp:posOffset>
                </wp:positionV>
                <wp:extent cx="2295525" cy="1114425"/>
                <wp:effectExtent l="0" t="0" r="9525" b="9525"/>
                <wp:wrapNone/>
                <wp:docPr id="12" name="Gráfico 201">
                  <a:extLst xmlns:a="http://schemas.openxmlformats.org/drawingml/2006/main">
                    <a:ext uri="{FF2B5EF4-FFF2-40B4-BE49-F238E27FC236}">
                      <a16:creationId xmlns:a16="http://schemas.microsoft.com/office/drawing/2014/main" id="{F3D65186-AB5A-4584-87C3-0FAA2992263B}"/>
                    </a:ex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Gráfico 201">
                          <a:extLst>
                            <a:ext uri="{FF2B5EF4-FFF2-40B4-BE49-F238E27FC236}">
                              <a16:creationId xmlns:a16="http://schemas.microsoft.com/office/drawing/2014/main" id="{F3D65186-AB5A-4584-87C3-0FAA2992263B}"/>
                            </a:ex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5525" cy="1114425"/>
                        </a:xfrm>
                        <a:prstGeom prst="rect">
                          <a:avLst/>
                        </a:prstGeom>
                      </pic:spPr>
                    </pic:pic>
                  </a:graphicData>
                </a:graphic>
                <wp14:sizeRelH relativeFrom="margin">
                  <wp14:pctWidth>0</wp14:pctWidth>
                </wp14:sizeRelH>
                <wp14:sizeRelV relativeFrom="margin">
                  <wp14:pctHeight>0</wp14:pctHeight>
                </wp14:sizeRelV>
              </wp:anchor>
            </w:drawing>
          </w:r>
          <w:r>
            <w:rPr>
              <w:noProof/>
              <w:lang w:val="es-CO" w:eastAsia="es-CO"/>
            </w:rPr>
            <w:br w:type="page"/>
          </w:r>
        </w:p>
      </w:sdtContent>
    </w:sdt>
    <w:p w14:paraId="6BA14E1E" w14:textId="15C65E78" w:rsidR="00043A3F" w:rsidRPr="00530548" w:rsidRDefault="00043A3F" w:rsidP="00A448A2">
      <w:pPr>
        <w:rPr>
          <w:rFonts w:ascii="Arial" w:hAnsi="Arial" w:cs="Arial"/>
        </w:rPr>
      </w:pPr>
      <w:r w:rsidRPr="00530548">
        <w:rPr>
          <w:rFonts w:ascii="Arial" w:hAnsi="Arial" w:cs="Arial"/>
          <w:bCs/>
          <w:sz w:val="48"/>
        </w:rPr>
        <w:lastRenderedPageBreak/>
        <w:t>1.</w:t>
      </w:r>
      <w:r w:rsidRPr="00530548">
        <w:rPr>
          <w:rFonts w:ascii="Arial" w:hAnsi="Arial" w:cs="Arial"/>
          <w:bCs/>
        </w:rPr>
        <w:t xml:space="preserve"> </w:t>
      </w:r>
      <w:r w:rsidRPr="00530548">
        <w:rPr>
          <w:rFonts w:ascii="Arial" w:hAnsi="Arial" w:cs="Arial"/>
          <w:bCs/>
          <w:sz w:val="48"/>
        </w:rPr>
        <w:t>INTRODUCCIÓN</w:t>
      </w:r>
    </w:p>
    <w:p w14:paraId="263ECB23" w14:textId="77777777" w:rsidR="00043A3F" w:rsidRPr="004626C8" w:rsidRDefault="00043A3F" w:rsidP="00043A3F">
      <w:pPr>
        <w:pStyle w:val="Prrafodelista"/>
        <w:autoSpaceDE w:val="0"/>
        <w:autoSpaceDN w:val="0"/>
        <w:adjustRightInd w:val="0"/>
        <w:spacing w:after="0" w:line="240" w:lineRule="auto"/>
        <w:rPr>
          <w:rFonts w:asciiTheme="majorHAnsi" w:hAnsiTheme="majorHAnsi" w:cstheme="majorHAnsi"/>
          <w:sz w:val="20"/>
          <w:szCs w:val="19"/>
        </w:rPr>
      </w:pPr>
    </w:p>
    <w:p w14:paraId="5203C977" w14:textId="77777777" w:rsidR="00043A3F" w:rsidRPr="004626C8" w:rsidRDefault="00043A3F" w:rsidP="00043A3F">
      <w:pPr>
        <w:pStyle w:val="Prrafodelista"/>
        <w:autoSpaceDE w:val="0"/>
        <w:autoSpaceDN w:val="0"/>
        <w:adjustRightInd w:val="0"/>
        <w:spacing w:after="0" w:line="240" w:lineRule="auto"/>
        <w:rPr>
          <w:rFonts w:asciiTheme="majorHAnsi" w:hAnsiTheme="majorHAnsi" w:cstheme="majorHAnsi"/>
          <w:sz w:val="20"/>
          <w:szCs w:val="19"/>
        </w:rPr>
      </w:pPr>
    </w:p>
    <w:p w14:paraId="7654CC91" w14:textId="77777777" w:rsidR="00043A3F" w:rsidRPr="00530548" w:rsidRDefault="00043A3F" w:rsidP="000C2FAE">
      <w:pPr>
        <w:autoSpaceDE w:val="0"/>
        <w:autoSpaceDN w:val="0"/>
        <w:adjustRightInd w:val="0"/>
        <w:spacing w:line="240" w:lineRule="auto"/>
        <w:ind w:right="395"/>
        <w:jc w:val="both"/>
        <w:rPr>
          <w:rFonts w:asciiTheme="majorHAnsi" w:hAnsiTheme="majorHAnsi" w:cstheme="majorHAnsi"/>
          <w:b w:val="0"/>
          <w:color w:val="auto"/>
          <w:sz w:val="24"/>
          <w:szCs w:val="19"/>
        </w:rPr>
      </w:pPr>
      <w:r w:rsidRPr="00530548">
        <w:rPr>
          <w:rFonts w:asciiTheme="majorHAnsi" w:hAnsiTheme="majorHAnsi" w:cstheme="majorHAnsi"/>
          <w:b w:val="0"/>
          <w:color w:val="auto"/>
          <w:sz w:val="24"/>
          <w:szCs w:val="19"/>
        </w:rPr>
        <w:t xml:space="preserve">La Corporación Autónoma Regional de Magdalena (CORPAMAG) en cumplimiento de los artículo 73 y 76 de la Ley 1474 de 2011 y el Decreto Reglamentario 124 de 2016, presenta el </w:t>
      </w:r>
      <w:r w:rsidRPr="00530548">
        <w:rPr>
          <w:rFonts w:asciiTheme="majorHAnsi" w:hAnsiTheme="majorHAnsi" w:cstheme="majorHAnsi"/>
          <w:color w:val="auto"/>
          <w:sz w:val="24"/>
          <w:szCs w:val="19"/>
        </w:rPr>
        <w:t>Plan Anticorrupción y de Atención al</w:t>
      </w:r>
      <w:r w:rsidR="000D7859" w:rsidRPr="00530548">
        <w:rPr>
          <w:rFonts w:asciiTheme="majorHAnsi" w:hAnsiTheme="majorHAnsi" w:cstheme="majorHAnsi"/>
          <w:color w:val="auto"/>
          <w:sz w:val="24"/>
          <w:szCs w:val="19"/>
        </w:rPr>
        <w:t xml:space="preserve"> Ciudadano para la vigencia 2022</w:t>
      </w:r>
      <w:r w:rsidRPr="00530548">
        <w:rPr>
          <w:rFonts w:asciiTheme="majorHAnsi" w:hAnsiTheme="majorHAnsi" w:cstheme="majorHAnsi"/>
          <w:b w:val="0"/>
          <w:color w:val="auto"/>
          <w:sz w:val="24"/>
          <w:szCs w:val="19"/>
        </w:rPr>
        <w:t>, como muestra de su compromiso en la lucha contra la corrupción y propendiendo por el fortalecimiento de la integridad pública; este se convierte en una herramienta de control preventivo de la gestión institucional, persiguiendo incentivar la transparencia y disminuir los riesgos de corrupción de la Entidad.</w:t>
      </w:r>
    </w:p>
    <w:p w14:paraId="2E38DDEC" w14:textId="77777777" w:rsidR="00043A3F" w:rsidRPr="00530548" w:rsidRDefault="00043A3F" w:rsidP="00043A3F">
      <w:pPr>
        <w:autoSpaceDE w:val="0"/>
        <w:autoSpaceDN w:val="0"/>
        <w:adjustRightInd w:val="0"/>
        <w:spacing w:line="240" w:lineRule="auto"/>
        <w:jc w:val="both"/>
        <w:rPr>
          <w:rFonts w:asciiTheme="majorHAnsi" w:hAnsiTheme="majorHAnsi" w:cstheme="majorHAnsi"/>
          <w:b w:val="0"/>
          <w:color w:val="auto"/>
          <w:sz w:val="24"/>
          <w:szCs w:val="19"/>
        </w:rPr>
      </w:pPr>
    </w:p>
    <w:p w14:paraId="56A67B54" w14:textId="77777777" w:rsidR="00043A3F" w:rsidRPr="00530548" w:rsidRDefault="00043A3F" w:rsidP="000C2FAE">
      <w:pPr>
        <w:autoSpaceDE w:val="0"/>
        <w:autoSpaceDN w:val="0"/>
        <w:adjustRightInd w:val="0"/>
        <w:spacing w:line="240" w:lineRule="auto"/>
        <w:ind w:right="395"/>
        <w:jc w:val="both"/>
        <w:rPr>
          <w:rFonts w:asciiTheme="majorHAnsi" w:hAnsiTheme="majorHAnsi" w:cstheme="majorHAnsi"/>
          <w:b w:val="0"/>
          <w:color w:val="auto"/>
          <w:sz w:val="24"/>
          <w:szCs w:val="19"/>
        </w:rPr>
      </w:pPr>
      <w:r w:rsidRPr="00530548">
        <w:rPr>
          <w:rFonts w:asciiTheme="majorHAnsi" w:hAnsiTheme="majorHAnsi" w:cstheme="majorHAnsi"/>
          <w:b w:val="0"/>
          <w:color w:val="auto"/>
          <w:sz w:val="24"/>
          <w:szCs w:val="19"/>
        </w:rPr>
        <w:t>El Plan Anticorrupción y de Atención al Ciudadano, complementa los lineamientos de las Políticas de Gestión y Desempeño Institucional del Modelo Integrado de Planeación y Gestión (MIPG). El plan está integrado por seis (6) componentes, estos son:</w:t>
      </w:r>
    </w:p>
    <w:p w14:paraId="4BD62220" w14:textId="77777777" w:rsidR="00043A3F" w:rsidRPr="00530548" w:rsidRDefault="00043A3F" w:rsidP="00043A3F">
      <w:pPr>
        <w:autoSpaceDE w:val="0"/>
        <w:autoSpaceDN w:val="0"/>
        <w:adjustRightInd w:val="0"/>
        <w:spacing w:line="240" w:lineRule="auto"/>
        <w:rPr>
          <w:rFonts w:ascii="FuturaStd-Light" w:hAnsi="FuturaStd-Light" w:cs="FuturaStd-Light"/>
          <w:color w:val="auto"/>
          <w:sz w:val="19"/>
          <w:szCs w:val="19"/>
        </w:rPr>
      </w:pPr>
    </w:p>
    <w:p w14:paraId="70E812F1" w14:textId="77777777" w:rsidR="00043A3F" w:rsidRDefault="00043A3F" w:rsidP="00043A3F">
      <w:pPr>
        <w:autoSpaceDE w:val="0"/>
        <w:autoSpaceDN w:val="0"/>
        <w:adjustRightInd w:val="0"/>
        <w:spacing w:line="240" w:lineRule="auto"/>
        <w:rPr>
          <w:rFonts w:ascii="FuturaStd-Light" w:hAnsi="FuturaStd-Light" w:cs="FuturaStd-Light"/>
          <w:sz w:val="19"/>
          <w:szCs w:val="19"/>
        </w:rPr>
      </w:pPr>
    </w:p>
    <w:p w14:paraId="122BA848" w14:textId="77777777" w:rsidR="00043A3F" w:rsidRDefault="002D3A37" w:rsidP="00D777E9">
      <w:pPr>
        <w:autoSpaceDE w:val="0"/>
        <w:autoSpaceDN w:val="0"/>
        <w:adjustRightInd w:val="0"/>
        <w:spacing w:line="240" w:lineRule="auto"/>
        <w:rPr>
          <w:rFonts w:ascii="FuturaStd-Light" w:hAnsi="FuturaStd-Light" w:cs="FuturaStd-Light"/>
          <w:b w:val="0"/>
          <w:bCs/>
          <w:sz w:val="19"/>
          <w:szCs w:val="19"/>
        </w:rPr>
      </w:pPr>
      <w:r>
        <w:rPr>
          <w:rFonts w:ascii="FuturaStd-Light" w:hAnsi="FuturaStd-Light" w:cs="FuturaStd-Light"/>
          <w:noProof/>
          <w:sz w:val="19"/>
          <w:szCs w:val="19"/>
          <w:lang w:val="es-CO" w:eastAsia="es-CO"/>
        </w:rPr>
        <w:drawing>
          <wp:inline distT="0" distB="0" distL="0" distR="0" wp14:anchorId="0D2408E5" wp14:editId="36868FCA">
            <wp:extent cx="4856480" cy="3696970"/>
            <wp:effectExtent l="0" t="152400" r="0" b="227330"/>
            <wp:docPr id="19" name="Diagrama 19" descr="Descripción de los componentes del PAAC y  su relación. " title="Gráfico PAAC"/>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FE38808" w14:textId="77777777" w:rsidR="00043A3F" w:rsidRPr="004626C8" w:rsidRDefault="00043A3F" w:rsidP="00043A3F">
      <w:pPr>
        <w:pStyle w:val="Ttulo1"/>
        <w:rPr>
          <w:rFonts w:cstheme="majorHAnsi"/>
          <w:bCs/>
          <w:sz w:val="48"/>
        </w:rPr>
      </w:pPr>
      <w:r w:rsidRPr="00A7635E">
        <w:rPr>
          <w:bCs/>
        </w:rPr>
        <w:lastRenderedPageBreak/>
        <w:t xml:space="preserve">2. </w:t>
      </w:r>
      <w:r w:rsidRPr="004626C8">
        <w:rPr>
          <w:rFonts w:cstheme="majorHAnsi"/>
          <w:bCs/>
          <w:sz w:val="48"/>
        </w:rPr>
        <w:t>OBJETIVOS</w:t>
      </w:r>
    </w:p>
    <w:p w14:paraId="46E66563" w14:textId="77777777" w:rsidR="00613EFB" w:rsidRPr="004626C8" w:rsidRDefault="00613EFB" w:rsidP="00043A3F">
      <w:pPr>
        <w:pStyle w:val="Ttulo1"/>
        <w:rPr>
          <w:rFonts w:cstheme="majorHAnsi"/>
          <w:b w:val="0"/>
          <w:bCs/>
          <w:sz w:val="48"/>
        </w:rPr>
      </w:pPr>
    </w:p>
    <w:p w14:paraId="0FCC4F93" w14:textId="77777777" w:rsidR="00043A3F" w:rsidRPr="004626C8" w:rsidRDefault="00043A3F" w:rsidP="00043A3F">
      <w:pPr>
        <w:pStyle w:val="Ttulo1"/>
        <w:rPr>
          <w:rFonts w:cstheme="majorHAnsi"/>
          <w:bCs/>
          <w:sz w:val="28"/>
          <w:szCs w:val="26"/>
        </w:rPr>
      </w:pPr>
      <w:r w:rsidRPr="004626C8">
        <w:rPr>
          <w:rFonts w:cstheme="majorHAnsi"/>
          <w:bCs/>
          <w:sz w:val="56"/>
        </w:rPr>
        <w:t xml:space="preserve"> </w:t>
      </w:r>
      <w:r w:rsidRPr="004626C8">
        <w:rPr>
          <w:rFonts w:cstheme="majorHAnsi"/>
          <w:bCs/>
          <w:sz w:val="28"/>
          <w:szCs w:val="26"/>
        </w:rPr>
        <w:t>2.1 Objetivo general</w:t>
      </w:r>
    </w:p>
    <w:p w14:paraId="2C156E41" w14:textId="77777777" w:rsidR="00043A3F" w:rsidRPr="00530548" w:rsidRDefault="00043A3F" w:rsidP="00043A3F">
      <w:pPr>
        <w:autoSpaceDE w:val="0"/>
        <w:autoSpaceDN w:val="0"/>
        <w:adjustRightInd w:val="0"/>
        <w:spacing w:line="240" w:lineRule="auto"/>
        <w:jc w:val="both"/>
        <w:rPr>
          <w:rFonts w:asciiTheme="majorHAnsi" w:hAnsiTheme="majorHAnsi" w:cstheme="majorHAnsi"/>
          <w:color w:val="auto"/>
          <w:sz w:val="18"/>
          <w:szCs w:val="19"/>
        </w:rPr>
      </w:pPr>
    </w:p>
    <w:p w14:paraId="4D3381C3" w14:textId="77777777" w:rsidR="00D777E9" w:rsidRPr="00530548" w:rsidRDefault="000D7859" w:rsidP="000C2FAE">
      <w:pPr>
        <w:autoSpaceDE w:val="0"/>
        <w:autoSpaceDN w:val="0"/>
        <w:adjustRightInd w:val="0"/>
        <w:spacing w:line="240" w:lineRule="auto"/>
        <w:ind w:right="395"/>
        <w:jc w:val="both"/>
        <w:rPr>
          <w:rFonts w:asciiTheme="majorHAnsi" w:hAnsiTheme="majorHAnsi" w:cstheme="majorHAnsi"/>
          <w:b w:val="0"/>
          <w:color w:val="auto"/>
          <w:sz w:val="24"/>
          <w:szCs w:val="19"/>
        </w:rPr>
      </w:pPr>
      <w:r w:rsidRPr="00530548">
        <w:rPr>
          <w:rFonts w:asciiTheme="majorHAnsi" w:hAnsiTheme="majorHAnsi" w:cstheme="majorHAnsi"/>
          <w:b w:val="0"/>
          <w:color w:val="auto"/>
          <w:sz w:val="24"/>
          <w:szCs w:val="19"/>
        </w:rPr>
        <w:t>Establecer las</w:t>
      </w:r>
      <w:r w:rsidR="00043A3F" w:rsidRPr="00530548">
        <w:rPr>
          <w:rFonts w:asciiTheme="majorHAnsi" w:hAnsiTheme="majorHAnsi" w:cstheme="majorHAnsi"/>
          <w:b w:val="0"/>
          <w:color w:val="auto"/>
          <w:sz w:val="24"/>
          <w:szCs w:val="19"/>
        </w:rPr>
        <w:t xml:space="preserve"> estrategias que garanticen que las acciones de la Corporación estén encaminadas en el marco de la legalidad y transparencia en todos sus procesos.</w:t>
      </w:r>
    </w:p>
    <w:p w14:paraId="4C0600FD" w14:textId="77777777" w:rsidR="00043A3F" w:rsidRPr="004626C8" w:rsidRDefault="00D777E9" w:rsidP="000C2FAE">
      <w:pPr>
        <w:autoSpaceDE w:val="0"/>
        <w:autoSpaceDN w:val="0"/>
        <w:adjustRightInd w:val="0"/>
        <w:spacing w:line="240" w:lineRule="auto"/>
        <w:ind w:right="395"/>
        <w:jc w:val="both"/>
        <w:rPr>
          <w:rFonts w:asciiTheme="majorHAnsi" w:hAnsiTheme="majorHAnsi" w:cstheme="majorHAnsi"/>
          <w:sz w:val="18"/>
          <w:szCs w:val="19"/>
        </w:rPr>
      </w:pPr>
      <w:r w:rsidRPr="004626C8">
        <w:rPr>
          <w:rFonts w:asciiTheme="majorHAnsi" w:hAnsiTheme="majorHAnsi" w:cstheme="majorHAnsi"/>
          <w:sz w:val="18"/>
          <w:szCs w:val="19"/>
        </w:rPr>
        <w:t xml:space="preserve"> </w:t>
      </w:r>
    </w:p>
    <w:p w14:paraId="1D60BA03" w14:textId="77777777" w:rsidR="00043A3F" w:rsidRPr="004626C8" w:rsidRDefault="00043A3F" w:rsidP="000C2FAE">
      <w:pPr>
        <w:pStyle w:val="Ttulo1"/>
        <w:spacing w:after="240"/>
        <w:ind w:right="395"/>
        <w:rPr>
          <w:rFonts w:cstheme="majorHAnsi"/>
          <w:sz w:val="56"/>
        </w:rPr>
      </w:pPr>
      <w:r w:rsidRPr="004626C8">
        <w:rPr>
          <w:rFonts w:cstheme="majorHAnsi"/>
          <w:bCs/>
          <w:sz w:val="28"/>
          <w:szCs w:val="26"/>
        </w:rPr>
        <w:t xml:space="preserve">2.2 Objetivos específicos </w:t>
      </w:r>
    </w:p>
    <w:p w14:paraId="22CCBF3C"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Identificar, analizar, prevenir y controlar los riesgos de corrupción</w:t>
      </w:r>
      <w:r w:rsidR="00B93B8B" w:rsidRPr="00530548">
        <w:rPr>
          <w:rFonts w:asciiTheme="majorHAnsi" w:hAnsiTheme="majorHAnsi" w:cstheme="majorHAnsi"/>
          <w:b w:val="0"/>
          <w:color w:val="auto"/>
          <w:sz w:val="24"/>
          <w:szCs w:val="24"/>
        </w:rPr>
        <w:t xml:space="preserve"> que se pueden presentar en la C</w:t>
      </w:r>
      <w:r w:rsidRPr="00530548">
        <w:rPr>
          <w:rFonts w:asciiTheme="majorHAnsi" w:hAnsiTheme="majorHAnsi" w:cstheme="majorHAnsi"/>
          <w:b w:val="0"/>
          <w:color w:val="auto"/>
          <w:sz w:val="24"/>
          <w:szCs w:val="24"/>
        </w:rPr>
        <w:t>orporación.</w:t>
      </w:r>
    </w:p>
    <w:p w14:paraId="23D138D7"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Estandarizar, automatizar y racionalizar los trámites y otros procedimientos administrativos que favorezcan la atención de los grupos de interés de la Corporación.</w:t>
      </w:r>
    </w:p>
    <w:p w14:paraId="2C7E53FE"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Implementar acciones que garanticen dentro de la gestión de la Corporación el desarrollo de espacios y canales de comunicación para informar de manera permanente a los grupos de interés y la ciudadanía.</w:t>
      </w:r>
    </w:p>
    <w:p w14:paraId="0569007B"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Fortalecer</w:t>
      </w:r>
      <w:r w:rsidR="00B93B8B" w:rsidRPr="00530548">
        <w:rPr>
          <w:rFonts w:asciiTheme="majorHAnsi" w:hAnsiTheme="majorHAnsi" w:cstheme="majorHAnsi"/>
          <w:b w:val="0"/>
          <w:color w:val="auto"/>
          <w:sz w:val="24"/>
          <w:szCs w:val="24"/>
        </w:rPr>
        <w:t xml:space="preserve"> los mecanismos de Atención al C</w:t>
      </w:r>
      <w:r w:rsidRPr="00530548">
        <w:rPr>
          <w:rFonts w:asciiTheme="majorHAnsi" w:hAnsiTheme="majorHAnsi" w:cstheme="majorHAnsi"/>
          <w:b w:val="0"/>
          <w:color w:val="auto"/>
          <w:sz w:val="24"/>
          <w:szCs w:val="24"/>
        </w:rPr>
        <w:t>iudadano asegurando una mejora en la prestación del servicio y satisfacción de los usuarios de la Corporación.</w:t>
      </w:r>
    </w:p>
    <w:p w14:paraId="284433EB"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Generar lineamientos que permitan la eficacia de las acciones en materia de transparencia, buen gobierno, información y comunicación.</w:t>
      </w:r>
    </w:p>
    <w:p w14:paraId="5B8891EA" w14:textId="77777777" w:rsidR="00303322" w:rsidRPr="00530548" w:rsidRDefault="00303322" w:rsidP="00303322">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Desarrollar iniciativas para fomentar la apropiación de valores y prácticas que garanticen la prioridad del interés general en el servicio público, desde la perspectiva de procesos de cambio cultural permanentes.</w:t>
      </w:r>
    </w:p>
    <w:p w14:paraId="2152AC28" w14:textId="77777777" w:rsidR="00303322" w:rsidRPr="00530548" w:rsidRDefault="00303322" w:rsidP="00303322">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Implementar mecanismos para prevenir y controlar la aparición de conflictos de intereses en la entidad con el objeto de evitar la afectación del servicio y el interés general.</w:t>
      </w:r>
    </w:p>
    <w:p w14:paraId="7BA32E74" w14:textId="77777777" w:rsidR="00303322" w:rsidRPr="00303322" w:rsidRDefault="00303322" w:rsidP="00303322">
      <w:pPr>
        <w:spacing w:after="160" w:line="259" w:lineRule="auto"/>
        <w:ind w:left="720" w:right="395"/>
        <w:jc w:val="both"/>
        <w:rPr>
          <w:rFonts w:ascii="FuturaStd-Light" w:hAnsi="FuturaStd-Light" w:cs="FuturaStd-Light"/>
          <w:sz w:val="19"/>
          <w:szCs w:val="19"/>
        </w:rPr>
      </w:pPr>
    </w:p>
    <w:p w14:paraId="3E3A139F" w14:textId="77777777" w:rsidR="00613EFB" w:rsidRDefault="00613EFB" w:rsidP="00F66E23">
      <w:pPr>
        <w:numPr>
          <w:ilvl w:val="0"/>
          <w:numId w:val="1"/>
        </w:numPr>
        <w:spacing w:after="160" w:line="259" w:lineRule="auto"/>
        <w:ind w:right="395"/>
        <w:jc w:val="both"/>
        <w:rPr>
          <w:rFonts w:ascii="FuturaStd-Light" w:hAnsi="FuturaStd-Light" w:cs="FuturaStd-Light"/>
          <w:sz w:val="19"/>
          <w:szCs w:val="19"/>
        </w:rPr>
      </w:pPr>
      <w:r w:rsidRPr="004626C8">
        <w:rPr>
          <w:rFonts w:asciiTheme="majorHAnsi" w:hAnsiTheme="majorHAnsi" w:cstheme="majorHAnsi"/>
          <w:sz w:val="18"/>
          <w:szCs w:val="19"/>
        </w:rPr>
        <w:br w:type="page"/>
      </w:r>
    </w:p>
    <w:p w14:paraId="550FA1CA" w14:textId="77777777" w:rsidR="00B126DA" w:rsidRDefault="00B126DA" w:rsidP="00043A3F">
      <w:pPr>
        <w:pStyle w:val="Ttulo1"/>
        <w:rPr>
          <w:bCs/>
        </w:rPr>
        <w:sectPr w:rsidR="00B126DA" w:rsidSect="00C97B9C">
          <w:headerReference w:type="default" r:id="rId16"/>
          <w:footerReference w:type="default" r:id="rId17"/>
          <w:pgSz w:w="11906" w:h="16838" w:code="9"/>
          <w:pgMar w:top="720" w:right="936" w:bottom="720" w:left="936" w:header="0" w:footer="289" w:gutter="0"/>
          <w:pgNumType w:start="0"/>
          <w:cols w:space="720"/>
          <w:titlePg/>
          <w:docGrid w:linePitch="382"/>
        </w:sectPr>
      </w:pPr>
    </w:p>
    <w:p w14:paraId="53BE92DB" w14:textId="77777777" w:rsidR="00043A3F" w:rsidRPr="004626C8" w:rsidRDefault="00043A3F" w:rsidP="00B126DA">
      <w:pPr>
        <w:pStyle w:val="Ttulo1"/>
        <w:jc w:val="center"/>
        <w:rPr>
          <w:rFonts w:cstheme="majorHAnsi"/>
          <w:b w:val="0"/>
          <w:bCs/>
          <w:sz w:val="48"/>
        </w:rPr>
      </w:pPr>
      <w:r w:rsidRPr="00A7635E">
        <w:rPr>
          <w:bCs/>
        </w:rPr>
        <w:lastRenderedPageBreak/>
        <w:t xml:space="preserve">3. </w:t>
      </w:r>
      <w:r w:rsidRPr="004626C8">
        <w:rPr>
          <w:rFonts w:cstheme="majorHAnsi"/>
          <w:bCs/>
          <w:sz w:val="48"/>
        </w:rPr>
        <w:t>COMPONENTES QUE INTEGRAN EL PLAN</w:t>
      </w:r>
    </w:p>
    <w:p w14:paraId="5114B88B" w14:textId="77777777" w:rsidR="00043A3F" w:rsidRPr="004626C8" w:rsidRDefault="00043A3F" w:rsidP="00043A3F">
      <w:pPr>
        <w:jc w:val="center"/>
        <w:rPr>
          <w:rFonts w:asciiTheme="majorHAnsi" w:hAnsiTheme="majorHAnsi" w:cstheme="majorHAnsi"/>
          <w:b w:val="0"/>
          <w:bCs/>
          <w:sz w:val="18"/>
          <w:szCs w:val="19"/>
        </w:rPr>
      </w:pPr>
    </w:p>
    <w:p w14:paraId="22F8964C" w14:textId="77777777" w:rsidR="00043A3F" w:rsidRPr="004626C8" w:rsidRDefault="00043A3F" w:rsidP="005E29F9">
      <w:pPr>
        <w:pStyle w:val="Ttulo"/>
        <w:rPr>
          <w:rFonts w:cstheme="majorHAnsi"/>
          <w:sz w:val="32"/>
          <w:szCs w:val="32"/>
        </w:rPr>
      </w:pPr>
      <w:r w:rsidRPr="004626C8">
        <w:rPr>
          <w:rFonts w:cstheme="majorHAnsi"/>
          <w:sz w:val="32"/>
          <w:szCs w:val="32"/>
        </w:rPr>
        <w:t xml:space="preserve">3.1. Gestión del Riesgo de Corrupción - Mapa de Riesgos de Corrupción </w:t>
      </w:r>
    </w:p>
    <w:p w14:paraId="35AAA75E" w14:textId="77777777" w:rsidR="00043A3F" w:rsidRPr="00530548" w:rsidRDefault="00043A3F" w:rsidP="000C2FAE">
      <w:pPr>
        <w:autoSpaceDE w:val="0"/>
        <w:autoSpaceDN w:val="0"/>
        <w:adjustRightInd w:val="0"/>
        <w:spacing w:line="240" w:lineRule="auto"/>
        <w:ind w:right="1081"/>
        <w:jc w:val="both"/>
        <w:rPr>
          <w:rFonts w:asciiTheme="majorHAnsi" w:hAnsiTheme="majorHAnsi" w:cstheme="majorHAnsi"/>
          <w:b w:val="0"/>
          <w:color w:val="auto"/>
          <w:sz w:val="24"/>
          <w:szCs w:val="28"/>
        </w:rPr>
      </w:pPr>
      <w:r w:rsidRPr="00530548">
        <w:rPr>
          <w:rFonts w:asciiTheme="majorHAnsi" w:hAnsiTheme="majorHAnsi" w:cstheme="majorHAnsi"/>
          <w:b w:val="0"/>
          <w:color w:val="auto"/>
          <w:sz w:val="24"/>
          <w:szCs w:val="28"/>
        </w:rPr>
        <w:t>Herramienta que le permite a la entidad identificar, analizar y controlar los posibles hechos generadores de corrupción, tanto internos como externos. A partir de la determinación de los riesgos de posibles actos de corrupción, causas y sus consecuencias se establecen las medidas orientadas a controlarlos.</w:t>
      </w:r>
    </w:p>
    <w:p w14:paraId="6EE39F1B" w14:textId="6AAA7017" w:rsidR="00656552" w:rsidRDefault="00656552" w:rsidP="00043A3F">
      <w:pPr>
        <w:autoSpaceDE w:val="0"/>
        <w:autoSpaceDN w:val="0"/>
        <w:adjustRightInd w:val="0"/>
        <w:spacing w:line="240" w:lineRule="auto"/>
        <w:jc w:val="both"/>
        <w:rPr>
          <w:rFonts w:cstheme="minorHAnsi"/>
          <w:b w:val="0"/>
          <w:szCs w:val="28"/>
        </w:rPr>
      </w:pPr>
    </w:p>
    <w:tbl>
      <w:tblPr>
        <w:tblW w:w="5000" w:type="pct"/>
        <w:tblCellMar>
          <w:left w:w="70" w:type="dxa"/>
          <w:right w:w="70" w:type="dxa"/>
        </w:tblCellMar>
        <w:tblLook w:val="04A0" w:firstRow="1" w:lastRow="0" w:firstColumn="1" w:lastColumn="0" w:noHBand="0" w:noVBand="1"/>
      </w:tblPr>
      <w:tblGrid>
        <w:gridCol w:w="2098"/>
        <w:gridCol w:w="419"/>
        <w:gridCol w:w="4751"/>
        <w:gridCol w:w="3001"/>
        <w:gridCol w:w="3038"/>
        <w:gridCol w:w="2081"/>
      </w:tblGrid>
      <w:tr w:rsidR="002053EB" w:rsidRPr="00B6144D" w14:paraId="093FB9D7" w14:textId="77777777" w:rsidTr="002053EB">
        <w:trPr>
          <w:trHeight w:val="300"/>
        </w:trPr>
        <w:tc>
          <w:tcPr>
            <w:tcW w:w="5000" w:type="pct"/>
            <w:gridSpan w:val="6"/>
            <w:tcBorders>
              <w:top w:val="single" w:sz="4" w:space="0" w:color="A6A6A6"/>
              <w:left w:val="single" w:sz="4" w:space="0" w:color="A6A6A6"/>
              <w:bottom w:val="single" w:sz="4" w:space="0" w:color="A6A6A6"/>
              <w:right w:val="single" w:sz="4" w:space="0" w:color="A6A6A6"/>
            </w:tcBorders>
            <w:shd w:val="clear" w:color="E7E6E6" w:fill="F2F2F2"/>
            <w:vAlign w:val="center"/>
            <w:hideMark/>
          </w:tcPr>
          <w:p w14:paraId="65AF182F"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t xml:space="preserve">Componente 1: Gestión del Riesgo de Corrupción </w:t>
            </w:r>
          </w:p>
        </w:tc>
      </w:tr>
      <w:tr w:rsidR="002053EB" w:rsidRPr="00B6144D" w14:paraId="46F8D0AE" w14:textId="77777777" w:rsidTr="002053EB">
        <w:trPr>
          <w:trHeight w:val="510"/>
        </w:trPr>
        <w:tc>
          <w:tcPr>
            <w:tcW w:w="684" w:type="pct"/>
            <w:tcBorders>
              <w:top w:val="nil"/>
              <w:left w:val="single" w:sz="4" w:space="0" w:color="A6A6A6"/>
              <w:bottom w:val="single" w:sz="4" w:space="0" w:color="A6A6A6"/>
              <w:right w:val="single" w:sz="4" w:space="0" w:color="A6A6A6"/>
            </w:tcBorders>
            <w:shd w:val="clear" w:color="E7E6E6" w:fill="F2F2F2"/>
            <w:vAlign w:val="center"/>
            <w:hideMark/>
          </w:tcPr>
          <w:p w14:paraId="6CC91CC2"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t>Subcomponente/ procesos</w:t>
            </w:r>
          </w:p>
        </w:tc>
        <w:tc>
          <w:tcPr>
            <w:tcW w:w="1672" w:type="pct"/>
            <w:gridSpan w:val="2"/>
            <w:tcBorders>
              <w:top w:val="single" w:sz="4" w:space="0" w:color="A6A6A6"/>
              <w:left w:val="nil"/>
              <w:bottom w:val="single" w:sz="4" w:space="0" w:color="A6A6A6"/>
              <w:right w:val="single" w:sz="4" w:space="0" w:color="A6A6A6"/>
            </w:tcBorders>
            <w:shd w:val="clear" w:color="E7E6E6" w:fill="F2F2F2"/>
            <w:vAlign w:val="center"/>
            <w:hideMark/>
          </w:tcPr>
          <w:p w14:paraId="7A612C65"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t>Actividades</w:t>
            </w:r>
          </w:p>
        </w:tc>
        <w:tc>
          <w:tcPr>
            <w:tcW w:w="977" w:type="pct"/>
            <w:tcBorders>
              <w:top w:val="nil"/>
              <w:left w:val="nil"/>
              <w:bottom w:val="single" w:sz="4" w:space="0" w:color="A6A6A6"/>
              <w:right w:val="single" w:sz="4" w:space="0" w:color="A6A6A6"/>
            </w:tcBorders>
            <w:shd w:val="clear" w:color="E7E6E6" w:fill="F2F2F2"/>
            <w:vAlign w:val="center"/>
            <w:hideMark/>
          </w:tcPr>
          <w:p w14:paraId="7CF10A83"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t>Meta o producto</w:t>
            </w:r>
          </w:p>
        </w:tc>
        <w:tc>
          <w:tcPr>
            <w:tcW w:w="989" w:type="pct"/>
            <w:tcBorders>
              <w:top w:val="nil"/>
              <w:left w:val="nil"/>
              <w:bottom w:val="single" w:sz="4" w:space="0" w:color="A6A6A6"/>
              <w:right w:val="single" w:sz="4" w:space="0" w:color="A6A6A6"/>
            </w:tcBorders>
            <w:shd w:val="clear" w:color="E7E6E6" w:fill="F2F2F2"/>
            <w:vAlign w:val="center"/>
            <w:hideMark/>
          </w:tcPr>
          <w:p w14:paraId="462D2C1D"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t>Responsable</w:t>
            </w:r>
          </w:p>
        </w:tc>
        <w:tc>
          <w:tcPr>
            <w:tcW w:w="678" w:type="pct"/>
            <w:tcBorders>
              <w:top w:val="nil"/>
              <w:left w:val="nil"/>
              <w:bottom w:val="single" w:sz="4" w:space="0" w:color="A6A6A6"/>
              <w:right w:val="single" w:sz="4" w:space="0" w:color="A6A6A6"/>
            </w:tcBorders>
            <w:shd w:val="clear" w:color="E7E6E6" w:fill="F2F2F2"/>
            <w:vAlign w:val="center"/>
            <w:hideMark/>
          </w:tcPr>
          <w:p w14:paraId="4E023D5C"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t xml:space="preserve">Fecha programada </w:t>
            </w:r>
          </w:p>
        </w:tc>
      </w:tr>
      <w:tr w:rsidR="002053EB" w:rsidRPr="00B6144D" w14:paraId="1C7E765E" w14:textId="77777777" w:rsidTr="002053EB">
        <w:trPr>
          <w:trHeight w:val="1440"/>
        </w:trPr>
        <w:tc>
          <w:tcPr>
            <w:tcW w:w="684" w:type="pct"/>
            <w:tcBorders>
              <w:top w:val="nil"/>
              <w:left w:val="single" w:sz="4" w:space="0" w:color="A6A6A6"/>
              <w:bottom w:val="single" w:sz="4" w:space="0" w:color="A6A6A6"/>
              <w:right w:val="single" w:sz="4" w:space="0" w:color="A6A6A6"/>
            </w:tcBorders>
            <w:shd w:val="clear" w:color="E7E6E6" w:fill="D9E1F2"/>
            <w:vAlign w:val="center"/>
            <w:hideMark/>
          </w:tcPr>
          <w:p w14:paraId="526A9061"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t>Subcomponente/</w:t>
            </w:r>
            <w:r w:rsidRPr="00B6144D">
              <w:rPr>
                <w:rFonts w:ascii="Arial" w:eastAsia="Times New Roman" w:hAnsi="Arial" w:cs="Arial"/>
                <w:bCs/>
                <w:color w:val="000000"/>
                <w:sz w:val="20"/>
                <w:szCs w:val="20"/>
                <w:lang w:val="es-CO" w:eastAsia="es-CO"/>
              </w:rPr>
              <w:br/>
              <w:t>proceso 1</w:t>
            </w:r>
            <w:r w:rsidRPr="00B6144D">
              <w:rPr>
                <w:rFonts w:ascii="Arial" w:eastAsia="Times New Roman" w:hAnsi="Arial" w:cs="Arial"/>
                <w:bCs/>
                <w:color w:val="000000"/>
                <w:sz w:val="20"/>
                <w:szCs w:val="20"/>
                <w:lang w:val="es-CO" w:eastAsia="es-CO"/>
              </w:rPr>
              <w:br/>
              <w:t>Política de Administración de Riesgos</w:t>
            </w:r>
          </w:p>
        </w:tc>
        <w:tc>
          <w:tcPr>
            <w:tcW w:w="126" w:type="pct"/>
            <w:tcBorders>
              <w:top w:val="nil"/>
              <w:left w:val="nil"/>
              <w:bottom w:val="single" w:sz="4" w:space="0" w:color="A6A6A6"/>
              <w:right w:val="single" w:sz="4" w:space="0" w:color="A6A6A6"/>
            </w:tcBorders>
            <w:shd w:val="clear" w:color="auto" w:fill="auto"/>
            <w:vAlign w:val="center"/>
            <w:hideMark/>
          </w:tcPr>
          <w:p w14:paraId="5D31CC07"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1.1</w:t>
            </w:r>
          </w:p>
        </w:tc>
        <w:tc>
          <w:tcPr>
            <w:tcW w:w="1546" w:type="pct"/>
            <w:tcBorders>
              <w:top w:val="nil"/>
              <w:left w:val="nil"/>
              <w:bottom w:val="single" w:sz="4" w:space="0" w:color="A6A6A6"/>
              <w:right w:val="single" w:sz="4" w:space="0" w:color="A6A6A6"/>
            </w:tcBorders>
            <w:shd w:val="clear" w:color="auto" w:fill="auto"/>
            <w:vAlign w:val="center"/>
            <w:hideMark/>
          </w:tcPr>
          <w:p w14:paraId="5A6D0CDF" w14:textId="77777777" w:rsidR="002053EB" w:rsidRPr="00B6144D" w:rsidRDefault="002053EB" w:rsidP="002053EB">
            <w:pPr>
              <w:spacing w:line="240" w:lineRule="auto"/>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Fortalecer el conocimiento de la Política de Administración de Riesgo al interior de la Corporación</w:t>
            </w:r>
          </w:p>
        </w:tc>
        <w:tc>
          <w:tcPr>
            <w:tcW w:w="977" w:type="pct"/>
            <w:tcBorders>
              <w:top w:val="nil"/>
              <w:left w:val="nil"/>
              <w:bottom w:val="single" w:sz="4" w:space="0" w:color="A6A6A6"/>
              <w:right w:val="single" w:sz="4" w:space="0" w:color="A6A6A6"/>
            </w:tcBorders>
            <w:shd w:val="clear" w:color="auto" w:fill="auto"/>
            <w:vAlign w:val="center"/>
            <w:hideMark/>
          </w:tcPr>
          <w:p w14:paraId="2493A92B"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 xml:space="preserve">Socialización de la Política de administración de riesgos </w:t>
            </w:r>
          </w:p>
        </w:tc>
        <w:tc>
          <w:tcPr>
            <w:tcW w:w="989" w:type="pct"/>
            <w:tcBorders>
              <w:top w:val="nil"/>
              <w:left w:val="nil"/>
              <w:bottom w:val="single" w:sz="4" w:space="0" w:color="A6A6A6"/>
              <w:right w:val="single" w:sz="4" w:space="0" w:color="A6A6A6"/>
            </w:tcBorders>
            <w:shd w:val="clear" w:color="auto" w:fill="auto"/>
            <w:vAlign w:val="center"/>
            <w:hideMark/>
          </w:tcPr>
          <w:p w14:paraId="4FCDAE83"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Oficina de Planeación</w:t>
            </w:r>
            <w:r w:rsidRPr="00B6144D">
              <w:rPr>
                <w:rFonts w:ascii="Arial" w:eastAsia="Times New Roman" w:hAnsi="Arial" w:cs="Arial"/>
                <w:b w:val="0"/>
                <w:color w:val="000000"/>
                <w:sz w:val="20"/>
                <w:szCs w:val="20"/>
                <w:lang w:val="es-CO" w:eastAsia="es-CO"/>
              </w:rPr>
              <w:br/>
              <w:t>(Coordinación del grupo de planeación estratégica corporativa)</w:t>
            </w:r>
          </w:p>
        </w:tc>
        <w:tc>
          <w:tcPr>
            <w:tcW w:w="678" w:type="pct"/>
            <w:tcBorders>
              <w:top w:val="nil"/>
              <w:left w:val="nil"/>
              <w:bottom w:val="single" w:sz="4" w:space="0" w:color="A6A6A6"/>
              <w:right w:val="single" w:sz="4" w:space="0" w:color="A6A6A6"/>
            </w:tcBorders>
            <w:shd w:val="clear" w:color="auto" w:fill="auto"/>
            <w:vAlign w:val="center"/>
            <w:hideMark/>
          </w:tcPr>
          <w:p w14:paraId="20ACB3E7" w14:textId="18A53BD7" w:rsidR="002053EB" w:rsidRPr="00B6144D" w:rsidRDefault="008420C5" w:rsidP="002053EB">
            <w:pPr>
              <w:spacing w:line="240" w:lineRule="auto"/>
              <w:jc w:val="center"/>
              <w:rPr>
                <w:rFonts w:ascii="Arial" w:eastAsia="Times New Roman" w:hAnsi="Arial" w:cs="Arial"/>
                <w:b w:val="0"/>
                <w:color w:val="000000"/>
                <w:sz w:val="20"/>
                <w:szCs w:val="20"/>
                <w:lang w:val="es-CO" w:eastAsia="es-CO"/>
              </w:rPr>
            </w:pPr>
            <w:r>
              <w:rPr>
                <w:rFonts w:ascii="Arial" w:eastAsia="Times New Roman" w:hAnsi="Arial" w:cs="Arial"/>
                <w:b w:val="0"/>
                <w:color w:val="000000"/>
                <w:sz w:val="20"/>
                <w:szCs w:val="20"/>
                <w:lang w:val="es-CO" w:eastAsia="es-CO"/>
              </w:rPr>
              <w:t>30/6</w:t>
            </w:r>
            <w:r w:rsidR="002053EB" w:rsidRPr="00B6144D">
              <w:rPr>
                <w:rFonts w:ascii="Arial" w:eastAsia="Times New Roman" w:hAnsi="Arial" w:cs="Arial"/>
                <w:b w:val="0"/>
                <w:color w:val="000000"/>
                <w:sz w:val="20"/>
                <w:szCs w:val="20"/>
                <w:lang w:val="es-CO" w:eastAsia="es-CO"/>
              </w:rPr>
              <w:t>/2022</w:t>
            </w:r>
          </w:p>
        </w:tc>
      </w:tr>
      <w:tr w:rsidR="002053EB" w:rsidRPr="00B6144D" w14:paraId="5592C9EE" w14:textId="77777777" w:rsidTr="002053EB">
        <w:trPr>
          <w:trHeight w:val="1410"/>
        </w:trPr>
        <w:tc>
          <w:tcPr>
            <w:tcW w:w="684" w:type="pct"/>
            <w:tcBorders>
              <w:top w:val="nil"/>
              <w:left w:val="single" w:sz="4" w:space="0" w:color="A6A6A6"/>
              <w:bottom w:val="single" w:sz="4" w:space="0" w:color="A6A6A6"/>
              <w:right w:val="single" w:sz="4" w:space="0" w:color="A6A6A6"/>
            </w:tcBorders>
            <w:shd w:val="clear" w:color="E7E6E6" w:fill="D9E1F2"/>
            <w:vAlign w:val="center"/>
            <w:hideMark/>
          </w:tcPr>
          <w:p w14:paraId="3A8FB8A2"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t>Subcomponente/</w:t>
            </w:r>
            <w:r w:rsidRPr="00B6144D">
              <w:rPr>
                <w:rFonts w:ascii="Arial" w:eastAsia="Times New Roman" w:hAnsi="Arial" w:cs="Arial"/>
                <w:bCs/>
                <w:color w:val="000000"/>
                <w:sz w:val="20"/>
                <w:szCs w:val="20"/>
                <w:lang w:val="es-CO" w:eastAsia="es-CO"/>
              </w:rPr>
              <w:br/>
              <w:t>proceso 2</w:t>
            </w:r>
            <w:r w:rsidRPr="00B6144D">
              <w:rPr>
                <w:rFonts w:ascii="Arial" w:eastAsia="Times New Roman" w:hAnsi="Arial" w:cs="Arial"/>
                <w:bCs/>
                <w:color w:val="000000"/>
                <w:sz w:val="20"/>
                <w:szCs w:val="20"/>
                <w:lang w:val="es-CO" w:eastAsia="es-CO"/>
              </w:rPr>
              <w:br/>
              <w:t>Construcción del Mapa de Riesgos de Corrupción</w:t>
            </w:r>
          </w:p>
        </w:tc>
        <w:tc>
          <w:tcPr>
            <w:tcW w:w="126" w:type="pct"/>
            <w:tcBorders>
              <w:top w:val="nil"/>
              <w:left w:val="nil"/>
              <w:bottom w:val="single" w:sz="4" w:space="0" w:color="A6A6A6"/>
              <w:right w:val="single" w:sz="4" w:space="0" w:color="A6A6A6"/>
            </w:tcBorders>
            <w:shd w:val="clear" w:color="auto" w:fill="auto"/>
            <w:vAlign w:val="center"/>
            <w:hideMark/>
          </w:tcPr>
          <w:p w14:paraId="36AAF971"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2.1</w:t>
            </w:r>
          </w:p>
        </w:tc>
        <w:tc>
          <w:tcPr>
            <w:tcW w:w="1546" w:type="pct"/>
            <w:tcBorders>
              <w:top w:val="nil"/>
              <w:left w:val="nil"/>
              <w:bottom w:val="single" w:sz="4" w:space="0" w:color="A6A6A6"/>
              <w:right w:val="single" w:sz="4" w:space="0" w:color="A6A6A6"/>
            </w:tcBorders>
            <w:shd w:val="clear" w:color="auto" w:fill="auto"/>
            <w:vAlign w:val="center"/>
            <w:hideMark/>
          </w:tcPr>
          <w:p w14:paraId="58302EAE" w14:textId="77777777" w:rsidR="002053EB" w:rsidRPr="00B6144D" w:rsidRDefault="002053EB" w:rsidP="002053EB">
            <w:pPr>
              <w:spacing w:line="240" w:lineRule="auto"/>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Revisar, validar y actualizar el Mapa de riesgos de corrupción con cada uno de los procesos de la Corporación.</w:t>
            </w:r>
          </w:p>
        </w:tc>
        <w:tc>
          <w:tcPr>
            <w:tcW w:w="977" w:type="pct"/>
            <w:tcBorders>
              <w:top w:val="nil"/>
              <w:left w:val="nil"/>
              <w:bottom w:val="single" w:sz="4" w:space="0" w:color="A6A6A6"/>
              <w:right w:val="single" w:sz="4" w:space="0" w:color="A6A6A6"/>
            </w:tcBorders>
            <w:shd w:val="clear" w:color="auto" w:fill="auto"/>
            <w:vAlign w:val="center"/>
            <w:hideMark/>
          </w:tcPr>
          <w:p w14:paraId="4B7B9FC1"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 xml:space="preserve">Mapa de riesgos de corrupción actualizado </w:t>
            </w:r>
          </w:p>
        </w:tc>
        <w:tc>
          <w:tcPr>
            <w:tcW w:w="989" w:type="pct"/>
            <w:tcBorders>
              <w:top w:val="nil"/>
              <w:left w:val="nil"/>
              <w:bottom w:val="single" w:sz="4" w:space="0" w:color="A6A6A6"/>
              <w:right w:val="single" w:sz="4" w:space="0" w:color="A6A6A6"/>
            </w:tcBorders>
            <w:shd w:val="clear" w:color="auto" w:fill="auto"/>
            <w:vAlign w:val="center"/>
            <w:hideMark/>
          </w:tcPr>
          <w:p w14:paraId="60AC8115"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Oficina de Planeación y Líderes de Procesos</w:t>
            </w:r>
          </w:p>
        </w:tc>
        <w:tc>
          <w:tcPr>
            <w:tcW w:w="678" w:type="pct"/>
            <w:tcBorders>
              <w:top w:val="nil"/>
              <w:left w:val="nil"/>
              <w:bottom w:val="single" w:sz="4" w:space="0" w:color="A6A6A6"/>
              <w:right w:val="single" w:sz="4" w:space="0" w:color="A6A6A6"/>
            </w:tcBorders>
            <w:shd w:val="clear" w:color="auto" w:fill="auto"/>
            <w:vAlign w:val="center"/>
            <w:hideMark/>
          </w:tcPr>
          <w:p w14:paraId="54E0F7E4"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31/1/2022</w:t>
            </w:r>
          </w:p>
        </w:tc>
      </w:tr>
      <w:tr w:rsidR="002053EB" w:rsidRPr="00B6144D" w14:paraId="1944E4A4" w14:textId="77777777" w:rsidTr="002053EB">
        <w:trPr>
          <w:trHeight w:val="1140"/>
        </w:trPr>
        <w:tc>
          <w:tcPr>
            <w:tcW w:w="684" w:type="pct"/>
            <w:vMerge w:val="restart"/>
            <w:tcBorders>
              <w:top w:val="nil"/>
              <w:left w:val="single" w:sz="4" w:space="0" w:color="A6A6A6"/>
              <w:bottom w:val="single" w:sz="4" w:space="0" w:color="A6A6A6"/>
              <w:right w:val="single" w:sz="4" w:space="0" w:color="A6A6A6"/>
            </w:tcBorders>
            <w:shd w:val="clear" w:color="E7E6E6" w:fill="D9E1F2"/>
            <w:vAlign w:val="center"/>
            <w:hideMark/>
          </w:tcPr>
          <w:p w14:paraId="7B59A312"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t>Subcomponente/</w:t>
            </w:r>
            <w:r w:rsidRPr="00B6144D">
              <w:rPr>
                <w:rFonts w:ascii="Arial" w:eastAsia="Times New Roman" w:hAnsi="Arial" w:cs="Arial"/>
                <w:bCs/>
                <w:color w:val="000000"/>
                <w:sz w:val="20"/>
                <w:szCs w:val="20"/>
                <w:lang w:val="es-CO" w:eastAsia="es-CO"/>
              </w:rPr>
              <w:br/>
              <w:t>proceso 3</w:t>
            </w:r>
            <w:r w:rsidRPr="00B6144D">
              <w:rPr>
                <w:rFonts w:ascii="Arial" w:eastAsia="Times New Roman" w:hAnsi="Arial" w:cs="Arial"/>
                <w:bCs/>
                <w:color w:val="000000"/>
                <w:sz w:val="20"/>
                <w:szCs w:val="20"/>
                <w:lang w:val="es-CO" w:eastAsia="es-CO"/>
              </w:rPr>
              <w:br/>
              <w:t>Consulta y divulgación</w:t>
            </w:r>
          </w:p>
        </w:tc>
        <w:tc>
          <w:tcPr>
            <w:tcW w:w="126" w:type="pct"/>
            <w:tcBorders>
              <w:top w:val="nil"/>
              <w:left w:val="nil"/>
              <w:bottom w:val="single" w:sz="4" w:space="0" w:color="A6A6A6"/>
              <w:right w:val="single" w:sz="4" w:space="0" w:color="A6A6A6"/>
            </w:tcBorders>
            <w:shd w:val="clear" w:color="auto" w:fill="auto"/>
            <w:vAlign w:val="center"/>
            <w:hideMark/>
          </w:tcPr>
          <w:p w14:paraId="38D1F428"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3.1</w:t>
            </w:r>
          </w:p>
        </w:tc>
        <w:tc>
          <w:tcPr>
            <w:tcW w:w="1546" w:type="pct"/>
            <w:tcBorders>
              <w:top w:val="nil"/>
              <w:left w:val="nil"/>
              <w:bottom w:val="single" w:sz="4" w:space="0" w:color="A6A6A6"/>
              <w:right w:val="single" w:sz="4" w:space="0" w:color="A6A6A6"/>
            </w:tcBorders>
            <w:shd w:val="clear" w:color="auto" w:fill="auto"/>
            <w:vAlign w:val="center"/>
            <w:hideMark/>
          </w:tcPr>
          <w:p w14:paraId="69907DDE" w14:textId="77777777" w:rsidR="002053EB" w:rsidRPr="00B6144D" w:rsidRDefault="002053EB" w:rsidP="002053EB">
            <w:pPr>
              <w:spacing w:line="240" w:lineRule="auto"/>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Publicación del proyecto del Plan Anticorrupción y Atención al Ciudadano y del Mapa de Riesgos de Corrupción, para consulta y aportes de mejora de la ciudadanía.</w:t>
            </w:r>
          </w:p>
        </w:tc>
        <w:tc>
          <w:tcPr>
            <w:tcW w:w="977" w:type="pct"/>
            <w:tcBorders>
              <w:top w:val="nil"/>
              <w:left w:val="nil"/>
              <w:bottom w:val="single" w:sz="4" w:space="0" w:color="A6A6A6"/>
              <w:right w:val="single" w:sz="4" w:space="0" w:color="A6A6A6"/>
            </w:tcBorders>
            <w:shd w:val="clear" w:color="auto" w:fill="auto"/>
            <w:vAlign w:val="center"/>
            <w:hideMark/>
          </w:tcPr>
          <w:p w14:paraId="67399798"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Proyecto del PAAC y Mapa de Riesgos de Corrupción de la vigencia publicado en página web</w:t>
            </w:r>
          </w:p>
        </w:tc>
        <w:tc>
          <w:tcPr>
            <w:tcW w:w="989" w:type="pct"/>
            <w:tcBorders>
              <w:top w:val="nil"/>
              <w:left w:val="nil"/>
              <w:bottom w:val="single" w:sz="4" w:space="0" w:color="A6A6A6"/>
              <w:right w:val="single" w:sz="4" w:space="0" w:color="A6A6A6"/>
            </w:tcBorders>
            <w:shd w:val="clear" w:color="auto" w:fill="auto"/>
            <w:vAlign w:val="center"/>
            <w:hideMark/>
          </w:tcPr>
          <w:p w14:paraId="27799C47"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Oficina de Planeación</w:t>
            </w:r>
          </w:p>
        </w:tc>
        <w:tc>
          <w:tcPr>
            <w:tcW w:w="678" w:type="pct"/>
            <w:tcBorders>
              <w:top w:val="nil"/>
              <w:left w:val="nil"/>
              <w:bottom w:val="single" w:sz="4" w:space="0" w:color="A6A6A6"/>
              <w:right w:val="single" w:sz="4" w:space="0" w:color="A6A6A6"/>
            </w:tcBorders>
            <w:shd w:val="clear" w:color="auto" w:fill="auto"/>
            <w:vAlign w:val="center"/>
            <w:hideMark/>
          </w:tcPr>
          <w:p w14:paraId="7F6D2582"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Desde 01/01/2022  Hasta 21/01/2022</w:t>
            </w:r>
          </w:p>
        </w:tc>
      </w:tr>
      <w:tr w:rsidR="002053EB" w:rsidRPr="00B6144D" w14:paraId="77C832D4" w14:textId="77777777" w:rsidTr="002053EB">
        <w:trPr>
          <w:trHeight w:val="1110"/>
        </w:trPr>
        <w:tc>
          <w:tcPr>
            <w:tcW w:w="684" w:type="pct"/>
            <w:vMerge/>
            <w:tcBorders>
              <w:top w:val="nil"/>
              <w:left w:val="single" w:sz="4" w:space="0" w:color="A6A6A6"/>
              <w:bottom w:val="single" w:sz="4" w:space="0" w:color="A6A6A6"/>
              <w:right w:val="single" w:sz="4" w:space="0" w:color="A6A6A6"/>
            </w:tcBorders>
            <w:vAlign w:val="center"/>
            <w:hideMark/>
          </w:tcPr>
          <w:p w14:paraId="03041729" w14:textId="77777777" w:rsidR="002053EB" w:rsidRPr="00B6144D" w:rsidRDefault="002053EB" w:rsidP="002053EB">
            <w:pPr>
              <w:spacing w:line="240" w:lineRule="auto"/>
              <w:rPr>
                <w:rFonts w:ascii="Arial" w:eastAsia="Times New Roman" w:hAnsi="Arial" w:cs="Arial"/>
                <w:bCs/>
                <w:color w:val="000000"/>
                <w:sz w:val="20"/>
                <w:szCs w:val="20"/>
                <w:lang w:val="es-CO" w:eastAsia="es-CO"/>
              </w:rPr>
            </w:pPr>
          </w:p>
        </w:tc>
        <w:tc>
          <w:tcPr>
            <w:tcW w:w="126" w:type="pct"/>
            <w:tcBorders>
              <w:top w:val="nil"/>
              <w:left w:val="nil"/>
              <w:bottom w:val="single" w:sz="4" w:space="0" w:color="A6A6A6"/>
              <w:right w:val="single" w:sz="4" w:space="0" w:color="A6A6A6"/>
            </w:tcBorders>
            <w:shd w:val="clear" w:color="auto" w:fill="auto"/>
            <w:vAlign w:val="center"/>
            <w:hideMark/>
          </w:tcPr>
          <w:p w14:paraId="4EF9407B"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3.2</w:t>
            </w:r>
          </w:p>
        </w:tc>
        <w:tc>
          <w:tcPr>
            <w:tcW w:w="1546" w:type="pct"/>
            <w:tcBorders>
              <w:top w:val="nil"/>
              <w:left w:val="nil"/>
              <w:bottom w:val="single" w:sz="4" w:space="0" w:color="A6A6A6"/>
              <w:right w:val="single" w:sz="4" w:space="0" w:color="A6A6A6"/>
            </w:tcBorders>
            <w:shd w:val="clear" w:color="auto" w:fill="auto"/>
            <w:vAlign w:val="center"/>
            <w:hideMark/>
          </w:tcPr>
          <w:p w14:paraId="4B2B9E8E" w14:textId="77777777" w:rsidR="002053EB" w:rsidRPr="00B6144D" w:rsidRDefault="002053EB" w:rsidP="002053EB">
            <w:pPr>
              <w:spacing w:line="240" w:lineRule="auto"/>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 xml:space="preserve">Publicación del Plan Anticorrupción y Atención al ciudadano y del Mapa de Riesgos de Corrupción </w:t>
            </w:r>
          </w:p>
        </w:tc>
        <w:tc>
          <w:tcPr>
            <w:tcW w:w="977" w:type="pct"/>
            <w:tcBorders>
              <w:top w:val="nil"/>
              <w:left w:val="nil"/>
              <w:bottom w:val="single" w:sz="4" w:space="0" w:color="A6A6A6"/>
              <w:right w:val="single" w:sz="4" w:space="0" w:color="A6A6A6"/>
            </w:tcBorders>
            <w:shd w:val="clear" w:color="auto" w:fill="auto"/>
            <w:vAlign w:val="center"/>
            <w:hideMark/>
          </w:tcPr>
          <w:p w14:paraId="636E7F55"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Plan Anticorrupción y Atención al Ciudadano y Mapa de Riesgos de Corrupción de la vigencia publicados en página web</w:t>
            </w:r>
          </w:p>
        </w:tc>
        <w:tc>
          <w:tcPr>
            <w:tcW w:w="989" w:type="pct"/>
            <w:tcBorders>
              <w:top w:val="nil"/>
              <w:left w:val="nil"/>
              <w:bottom w:val="single" w:sz="4" w:space="0" w:color="A6A6A6"/>
              <w:right w:val="single" w:sz="4" w:space="0" w:color="A6A6A6"/>
            </w:tcBorders>
            <w:shd w:val="clear" w:color="auto" w:fill="auto"/>
            <w:vAlign w:val="center"/>
            <w:hideMark/>
          </w:tcPr>
          <w:p w14:paraId="2117C03D"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 xml:space="preserve">Oficina de Planeación </w:t>
            </w:r>
          </w:p>
        </w:tc>
        <w:tc>
          <w:tcPr>
            <w:tcW w:w="678" w:type="pct"/>
            <w:tcBorders>
              <w:top w:val="nil"/>
              <w:left w:val="nil"/>
              <w:bottom w:val="single" w:sz="4" w:space="0" w:color="A6A6A6"/>
              <w:right w:val="single" w:sz="4" w:space="0" w:color="A6A6A6"/>
            </w:tcBorders>
            <w:shd w:val="clear" w:color="auto" w:fill="auto"/>
            <w:vAlign w:val="center"/>
            <w:hideMark/>
          </w:tcPr>
          <w:p w14:paraId="2736AE44"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31/1/2022</w:t>
            </w:r>
          </w:p>
        </w:tc>
      </w:tr>
      <w:tr w:rsidR="002053EB" w:rsidRPr="00B6144D" w14:paraId="10406DAE" w14:textId="77777777" w:rsidTr="002053EB">
        <w:trPr>
          <w:trHeight w:val="1860"/>
        </w:trPr>
        <w:tc>
          <w:tcPr>
            <w:tcW w:w="684" w:type="pct"/>
            <w:tcBorders>
              <w:top w:val="single" w:sz="4" w:space="0" w:color="A6A6A6"/>
              <w:left w:val="single" w:sz="4" w:space="0" w:color="A6A6A6"/>
              <w:bottom w:val="single" w:sz="4" w:space="0" w:color="A6A6A6"/>
              <w:right w:val="single" w:sz="4" w:space="0" w:color="A6A6A6"/>
            </w:tcBorders>
            <w:shd w:val="clear" w:color="E7E6E6" w:fill="D9E1F2"/>
            <w:vAlign w:val="center"/>
            <w:hideMark/>
          </w:tcPr>
          <w:p w14:paraId="5652DDD5"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lastRenderedPageBreak/>
              <w:t>Subcomponente/</w:t>
            </w:r>
            <w:r w:rsidRPr="00B6144D">
              <w:rPr>
                <w:rFonts w:ascii="Arial" w:eastAsia="Times New Roman" w:hAnsi="Arial" w:cs="Arial"/>
                <w:bCs/>
                <w:color w:val="000000"/>
                <w:sz w:val="20"/>
                <w:szCs w:val="20"/>
                <w:lang w:val="es-CO" w:eastAsia="es-CO"/>
              </w:rPr>
              <w:br/>
              <w:t>proceso 4</w:t>
            </w:r>
            <w:r w:rsidRPr="00B6144D">
              <w:rPr>
                <w:rFonts w:ascii="Arial" w:eastAsia="Times New Roman" w:hAnsi="Arial" w:cs="Arial"/>
                <w:bCs/>
                <w:color w:val="000000"/>
                <w:sz w:val="20"/>
                <w:szCs w:val="20"/>
                <w:lang w:val="es-CO" w:eastAsia="es-CO"/>
              </w:rPr>
              <w:br/>
              <w:t>Monitorio y revisión</w:t>
            </w:r>
          </w:p>
        </w:tc>
        <w:tc>
          <w:tcPr>
            <w:tcW w:w="126" w:type="pct"/>
            <w:tcBorders>
              <w:top w:val="single" w:sz="4" w:space="0" w:color="A6A6A6"/>
              <w:left w:val="nil"/>
              <w:bottom w:val="single" w:sz="4" w:space="0" w:color="A6A6A6"/>
              <w:right w:val="single" w:sz="4" w:space="0" w:color="A6A6A6"/>
            </w:tcBorders>
            <w:shd w:val="clear" w:color="auto" w:fill="auto"/>
            <w:vAlign w:val="center"/>
            <w:hideMark/>
          </w:tcPr>
          <w:p w14:paraId="44152718"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4.1</w:t>
            </w:r>
          </w:p>
        </w:tc>
        <w:tc>
          <w:tcPr>
            <w:tcW w:w="1546" w:type="pct"/>
            <w:tcBorders>
              <w:top w:val="single" w:sz="4" w:space="0" w:color="A6A6A6"/>
              <w:left w:val="nil"/>
              <w:bottom w:val="single" w:sz="4" w:space="0" w:color="A6A6A6"/>
              <w:right w:val="single" w:sz="4" w:space="0" w:color="A6A6A6"/>
            </w:tcBorders>
            <w:shd w:val="clear" w:color="auto" w:fill="auto"/>
            <w:vAlign w:val="center"/>
            <w:hideMark/>
          </w:tcPr>
          <w:p w14:paraId="7A89A113" w14:textId="77777777" w:rsidR="002053EB" w:rsidRPr="00B6144D" w:rsidRDefault="002053EB" w:rsidP="002053EB">
            <w:pPr>
              <w:spacing w:line="240" w:lineRule="auto"/>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Realizar monitoreo a los controles establecidos, con el fin de evaluar su efectividad</w:t>
            </w:r>
          </w:p>
        </w:tc>
        <w:tc>
          <w:tcPr>
            <w:tcW w:w="977" w:type="pct"/>
            <w:tcBorders>
              <w:top w:val="single" w:sz="4" w:space="0" w:color="A6A6A6"/>
              <w:left w:val="nil"/>
              <w:bottom w:val="single" w:sz="4" w:space="0" w:color="A6A6A6"/>
              <w:right w:val="single" w:sz="4" w:space="0" w:color="A6A6A6"/>
            </w:tcBorders>
            <w:shd w:val="clear" w:color="auto" w:fill="auto"/>
            <w:vAlign w:val="center"/>
            <w:hideMark/>
          </w:tcPr>
          <w:p w14:paraId="0CF5628C"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proofErr w:type="spellStart"/>
            <w:r w:rsidRPr="00B6144D">
              <w:rPr>
                <w:rFonts w:ascii="Arial" w:eastAsia="Times New Roman" w:hAnsi="Arial" w:cs="Arial"/>
                <w:b w:val="0"/>
                <w:color w:val="000000"/>
                <w:sz w:val="20"/>
                <w:szCs w:val="20"/>
                <w:lang w:val="es-CO" w:eastAsia="es-CO"/>
              </w:rPr>
              <w:t>Monitoreos</w:t>
            </w:r>
            <w:proofErr w:type="spellEnd"/>
            <w:r w:rsidRPr="00B6144D">
              <w:rPr>
                <w:rFonts w:ascii="Arial" w:eastAsia="Times New Roman" w:hAnsi="Arial" w:cs="Arial"/>
                <w:b w:val="0"/>
                <w:color w:val="000000"/>
                <w:sz w:val="20"/>
                <w:szCs w:val="20"/>
                <w:lang w:val="es-CO" w:eastAsia="es-CO"/>
              </w:rPr>
              <w:t xml:space="preserve"> realizados</w:t>
            </w:r>
          </w:p>
        </w:tc>
        <w:tc>
          <w:tcPr>
            <w:tcW w:w="989" w:type="pct"/>
            <w:tcBorders>
              <w:top w:val="single" w:sz="4" w:space="0" w:color="A6A6A6"/>
              <w:left w:val="nil"/>
              <w:bottom w:val="single" w:sz="4" w:space="0" w:color="A6A6A6"/>
              <w:right w:val="single" w:sz="4" w:space="0" w:color="A6A6A6"/>
            </w:tcBorders>
            <w:shd w:val="clear" w:color="auto" w:fill="auto"/>
            <w:vAlign w:val="center"/>
            <w:hideMark/>
          </w:tcPr>
          <w:p w14:paraId="3CD24616" w14:textId="6E8D4243"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Líderes de Procesos</w:t>
            </w:r>
            <w:r w:rsidRPr="00B6144D">
              <w:rPr>
                <w:rFonts w:ascii="Arial" w:eastAsia="Times New Roman" w:hAnsi="Arial" w:cs="Arial"/>
                <w:b w:val="0"/>
                <w:color w:val="000000"/>
                <w:sz w:val="20"/>
                <w:szCs w:val="20"/>
                <w:lang w:val="es-CO" w:eastAsia="es-CO"/>
              </w:rPr>
              <w:br/>
              <w:t xml:space="preserve">Oficina de Planeación </w:t>
            </w:r>
          </w:p>
        </w:tc>
        <w:tc>
          <w:tcPr>
            <w:tcW w:w="678" w:type="pct"/>
            <w:tcBorders>
              <w:top w:val="single" w:sz="4" w:space="0" w:color="A6A6A6"/>
              <w:left w:val="nil"/>
              <w:bottom w:val="single" w:sz="4" w:space="0" w:color="A6A6A6"/>
              <w:right w:val="single" w:sz="4" w:space="0" w:color="A6A6A6"/>
            </w:tcBorders>
            <w:shd w:val="clear" w:color="auto" w:fill="auto"/>
            <w:vAlign w:val="center"/>
            <w:hideMark/>
          </w:tcPr>
          <w:p w14:paraId="69D7A0CB"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De acuerdo a las fechas definidas en cada uno de los componentes del PAAC y Mapa de riesgos de corrupción de los procesos</w:t>
            </w:r>
          </w:p>
        </w:tc>
      </w:tr>
      <w:tr w:rsidR="002053EB" w:rsidRPr="00B6144D" w14:paraId="0A2EC069" w14:textId="77777777" w:rsidTr="002053EB">
        <w:trPr>
          <w:trHeight w:val="1065"/>
        </w:trPr>
        <w:tc>
          <w:tcPr>
            <w:tcW w:w="684" w:type="pct"/>
            <w:tcBorders>
              <w:top w:val="single" w:sz="4" w:space="0" w:color="A6A6A6"/>
              <w:left w:val="single" w:sz="4" w:space="0" w:color="A6A6A6"/>
              <w:bottom w:val="single" w:sz="4" w:space="0" w:color="A6A6A6"/>
              <w:right w:val="single" w:sz="4" w:space="0" w:color="A6A6A6"/>
            </w:tcBorders>
            <w:shd w:val="clear" w:color="E7E6E6" w:fill="D9E1F2"/>
            <w:vAlign w:val="center"/>
            <w:hideMark/>
          </w:tcPr>
          <w:p w14:paraId="12BC6F33"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t>Subcomponente/</w:t>
            </w:r>
            <w:r w:rsidRPr="00B6144D">
              <w:rPr>
                <w:rFonts w:ascii="Arial" w:eastAsia="Times New Roman" w:hAnsi="Arial" w:cs="Arial"/>
                <w:bCs/>
                <w:color w:val="000000"/>
                <w:sz w:val="20"/>
                <w:szCs w:val="20"/>
                <w:lang w:val="es-CO" w:eastAsia="es-CO"/>
              </w:rPr>
              <w:br/>
              <w:t>proceso 5</w:t>
            </w:r>
            <w:r w:rsidRPr="00B6144D">
              <w:rPr>
                <w:rFonts w:ascii="Arial" w:eastAsia="Times New Roman" w:hAnsi="Arial" w:cs="Arial"/>
                <w:bCs/>
                <w:color w:val="000000"/>
                <w:sz w:val="20"/>
                <w:szCs w:val="20"/>
                <w:lang w:val="es-CO" w:eastAsia="es-CO"/>
              </w:rPr>
              <w:br/>
              <w:t>Seguimiento</w:t>
            </w:r>
          </w:p>
        </w:tc>
        <w:tc>
          <w:tcPr>
            <w:tcW w:w="126" w:type="pct"/>
            <w:tcBorders>
              <w:top w:val="single" w:sz="4" w:space="0" w:color="A6A6A6"/>
              <w:left w:val="nil"/>
              <w:bottom w:val="single" w:sz="4" w:space="0" w:color="A6A6A6"/>
              <w:right w:val="single" w:sz="4" w:space="0" w:color="A6A6A6"/>
            </w:tcBorders>
            <w:shd w:val="clear" w:color="auto" w:fill="auto"/>
            <w:vAlign w:val="center"/>
            <w:hideMark/>
          </w:tcPr>
          <w:p w14:paraId="6202B9D6"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5.1</w:t>
            </w:r>
          </w:p>
        </w:tc>
        <w:tc>
          <w:tcPr>
            <w:tcW w:w="1546" w:type="pct"/>
            <w:tcBorders>
              <w:top w:val="single" w:sz="4" w:space="0" w:color="A6A6A6"/>
              <w:left w:val="nil"/>
              <w:bottom w:val="single" w:sz="4" w:space="0" w:color="A6A6A6"/>
              <w:right w:val="single" w:sz="4" w:space="0" w:color="A6A6A6"/>
            </w:tcBorders>
            <w:shd w:val="clear" w:color="auto" w:fill="auto"/>
            <w:vAlign w:val="center"/>
            <w:hideMark/>
          </w:tcPr>
          <w:p w14:paraId="1DA03D6E" w14:textId="77777777" w:rsidR="002053EB" w:rsidRPr="00B6144D" w:rsidRDefault="002053EB" w:rsidP="002053EB">
            <w:pPr>
              <w:spacing w:line="240" w:lineRule="auto"/>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Realizar seguimiento al Plan Anticorrupción y Atención al ciudadano y al Mapa de Riesgos de Corrupción</w:t>
            </w:r>
          </w:p>
        </w:tc>
        <w:tc>
          <w:tcPr>
            <w:tcW w:w="977" w:type="pct"/>
            <w:tcBorders>
              <w:top w:val="single" w:sz="4" w:space="0" w:color="A6A6A6"/>
              <w:left w:val="nil"/>
              <w:bottom w:val="single" w:sz="4" w:space="0" w:color="A6A6A6"/>
              <w:right w:val="single" w:sz="4" w:space="0" w:color="A6A6A6"/>
            </w:tcBorders>
            <w:shd w:val="clear" w:color="auto" w:fill="auto"/>
            <w:vAlign w:val="center"/>
            <w:hideMark/>
          </w:tcPr>
          <w:p w14:paraId="27617403"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Informes de seguimiento cuatrimestral</w:t>
            </w:r>
          </w:p>
        </w:tc>
        <w:tc>
          <w:tcPr>
            <w:tcW w:w="989" w:type="pct"/>
            <w:tcBorders>
              <w:top w:val="single" w:sz="4" w:space="0" w:color="A6A6A6"/>
              <w:left w:val="nil"/>
              <w:bottom w:val="single" w:sz="4" w:space="0" w:color="A6A6A6"/>
              <w:right w:val="single" w:sz="4" w:space="0" w:color="A6A6A6"/>
            </w:tcBorders>
            <w:shd w:val="clear" w:color="auto" w:fill="auto"/>
            <w:vAlign w:val="center"/>
            <w:hideMark/>
          </w:tcPr>
          <w:p w14:paraId="60AC62C4"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 xml:space="preserve">Asesor de Dirección con funciones de Control Interno </w:t>
            </w:r>
          </w:p>
        </w:tc>
        <w:tc>
          <w:tcPr>
            <w:tcW w:w="678" w:type="pct"/>
            <w:tcBorders>
              <w:top w:val="single" w:sz="4" w:space="0" w:color="A6A6A6"/>
              <w:left w:val="nil"/>
              <w:bottom w:val="single" w:sz="4" w:space="0" w:color="A6A6A6"/>
              <w:right w:val="single" w:sz="4" w:space="0" w:color="A6A6A6"/>
            </w:tcBorders>
            <w:shd w:val="clear" w:color="auto" w:fill="auto"/>
            <w:vAlign w:val="center"/>
            <w:hideMark/>
          </w:tcPr>
          <w:p w14:paraId="5055E493"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31/05/2022</w:t>
            </w:r>
            <w:r w:rsidRPr="00B6144D">
              <w:rPr>
                <w:rFonts w:ascii="Arial" w:eastAsia="Times New Roman" w:hAnsi="Arial" w:cs="Arial"/>
                <w:b w:val="0"/>
                <w:color w:val="000000"/>
                <w:sz w:val="20"/>
                <w:szCs w:val="20"/>
                <w:lang w:val="es-CO" w:eastAsia="es-CO"/>
              </w:rPr>
              <w:br/>
              <w:t>30/09/2022</w:t>
            </w:r>
            <w:r w:rsidRPr="00B6144D">
              <w:rPr>
                <w:rFonts w:ascii="Arial" w:eastAsia="Times New Roman" w:hAnsi="Arial" w:cs="Arial"/>
                <w:b w:val="0"/>
                <w:color w:val="000000"/>
                <w:sz w:val="20"/>
                <w:szCs w:val="20"/>
                <w:lang w:val="es-CO" w:eastAsia="es-CO"/>
              </w:rPr>
              <w:br/>
              <w:t>20/01/2023</w:t>
            </w:r>
          </w:p>
        </w:tc>
      </w:tr>
    </w:tbl>
    <w:p w14:paraId="279B0D21" w14:textId="02537E9D" w:rsidR="002053EB" w:rsidRDefault="002053EB" w:rsidP="00043A3F">
      <w:pPr>
        <w:autoSpaceDE w:val="0"/>
        <w:autoSpaceDN w:val="0"/>
        <w:adjustRightInd w:val="0"/>
        <w:spacing w:line="240" w:lineRule="auto"/>
        <w:jc w:val="both"/>
        <w:rPr>
          <w:rFonts w:cstheme="minorHAnsi"/>
          <w:b w:val="0"/>
          <w:szCs w:val="28"/>
        </w:rPr>
      </w:pPr>
    </w:p>
    <w:p w14:paraId="582CF56C" w14:textId="4FD00667" w:rsidR="002053EB" w:rsidRDefault="002053EB" w:rsidP="00043A3F">
      <w:pPr>
        <w:autoSpaceDE w:val="0"/>
        <w:autoSpaceDN w:val="0"/>
        <w:adjustRightInd w:val="0"/>
        <w:spacing w:line="240" w:lineRule="auto"/>
        <w:jc w:val="both"/>
        <w:rPr>
          <w:rFonts w:cstheme="minorHAnsi"/>
          <w:b w:val="0"/>
          <w:szCs w:val="28"/>
        </w:rPr>
      </w:pPr>
    </w:p>
    <w:p w14:paraId="7A9289E9" w14:textId="62C1B072" w:rsidR="002053EB" w:rsidRDefault="002053EB" w:rsidP="00043A3F">
      <w:pPr>
        <w:autoSpaceDE w:val="0"/>
        <w:autoSpaceDN w:val="0"/>
        <w:adjustRightInd w:val="0"/>
        <w:spacing w:line="240" w:lineRule="auto"/>
        <w:jc w:val="both"/>
        <w:rPr>
          <w:rFonts w:cstheme="minorHAnsi"/>
          <w:b w:val="0"/>
          <w:szCs w:val="28"/>
        </w:rPr>
      </w:pPr>
    </w:p>
    <w:p w14:paraId="3B9AE88B" w14:textId="77777777" w:rsidR="002053EB" w:rsidRDefault="002053EB" w:rsidP="00043A3F">
      <w:pPr>
        <w:autoSpaceDE w:val="0"/>
        <w:autoSpaceDN w:val="0"/>
        <w:adjustRightInd w:val="0"/>
        <w:spacing w:line="240" w:lineRule="auto"/>
        <w:jc w:val="both"/>
        <w:rPr>
          <w:rFonts w:cstheme="minorHAnsi"/>
          <w:b w:val="0"/>
          <w:szCs w:val="28"/>
        </w:rPr>
      </w:pPr>
    </w:p>
    <w:p w14:paraId="0450A8CA" w14:textId="2568007C" w:rsidR="002053EB" w:rsidRDefault="002053EB" w:rsidP="00043A3F">
      <w:pPr>
        <w:autoSpaceDE w:val="0"/>
        <w:autoSpaceDN w:val="0"/>
        <w:adjustRightInd w:val="0"/>
        <w:spacing w:line="240" w:lineRule="auto"/>
        <w:jc w:val="both"/>
        <w:rPr>
          <w:rFonts w:cstheme="minorHAnsi"/>
          <w:b w:val="0"/>
          <w:szCs w:val="28"/>
        </w:rPr>
      </w:pPr>
    </w:p>
    <w:p w14:paraId="21E76A3E" w14:textId="77777777" w:rsidR="002053EB" w:rsidRDefault="002053EB" w:rsidP="00043A3F">
      <w:pPr>
        <w:autoSpaceDE w:val="0"/>
        <w:autoSpaceDN w:val="0"/>
        <w:adjustRightInd w:val="0"/>
        <w:spacing w:line="240" w:lineRule="auto"/>
        <w:jc w:val="both"/>
        <w:rPr>
          <w:rFonts w:cstheme="minorHAnsi"/>
          <w:b w:val="0"/>
          <w:szCs w:val="28"/>
        </w:rPr>
      </w:pPr>
    </w:p>
    <w:p w14:paraId="033879B7" w14:textId="77777777" w:rsidR="00B126DA" w:rsidRDefault="00B126DA">
      <w:pPr>
        <w:spacing w:after="200"/>
        <w:rPr>
          <w:rFonts w:ascii="FuturaStd-Light" w:eastAsiaTheme="minorHAnsi" w:hAnsi="FuturaStd-Light" w:cs="FuturaStd-Light"/>
          <w:b w:val="0"/>
          <w:color w:val="auto"/>
          <w:sz w:val="19"/>
          <w:szCs w:val="19"/>
          <w:lang w:val="es-CO"/>
        </w:rPr>
      </w:pPr>
      <w:r>
        <w:rPr>
          <w:rFonts w:ascii="FuturaStd-Light" w:hAnsi="FuturaStd-Light" w:cs="FuturaStd-Light"/>
          <w:sz w:val="19"/>
          <w:szCs w:val="19"/>
        </w:rPr>
        <w:br w:type="page"/>
      </w:r>
    </w:p>
    <w:p w14:paraId="28A20C91" w14:textId="77777777" w:rsidR="00043A3F" w:rsidRPr="004626C8" w:rsidRDefault="00043A3F" w:rsidP="008D250C">
      <w:pPr>
        <w:pStyle w:val="Ttulo"/>
        <w:rPr>
          <w:rFonts w:cstheme="majorHAnsi"/>
          <w:sz w:val="32"/>
        </w:rPr>
      </w:pPr>
      <w:r w:rsidRPr="004626C8">
        <w:rPr>
          <w:rFonts w:cstheme="majorHAnsi"/>
          <w:sz w:val="32"/>
        </w:rPr>
        <w:lastRenderedPageBreak/>
        <w:t xml:space="preserve">3.2. Racionalización de Trámites </w:t>
      </w:r>
    </w:p>
    <w:p w14:paraId="6BC8DB29" w14:textId="3C33E406" w:rsidR="00043A3F" w:rsidRDefault="00043A3F" w:rsidP="004626C8">
      <w:pPr>
        <w:autoSpaceDE w:val="0"/>
        <w:autoSpaceDN w:val="0"/>
        <w:adjustRightInd w:val="0"/>
        <w:spacing w:line="240" w:lineRule="auto"/>
        <w:ind w:right="797"/>
        <w:jc w:val="both"/>
        <w:rPr>
          <w:rFonts w:asciiTheme="majorHAnsi" w:hAnsiTheme="majorHAnsi" w:cstheme="majorHAnsi"/>
          <w:b w:val="0"/>
          <w:color w:val="auto"/>
          <w:sz w:val="24"/>
          <w:szCs w:val="28"/>
        </w:rPr>
      </w:pPr>
      <w:r w:rsidRPr="00530548">
        <w:rPr>
          <w:rFonts w:asciiTheme="majorHAnsi" w:hAnsiTheme="majorHAnsi" w:cstheme="majorHAnsi"/>
          <w:b w:val="0"/>
          <w:color w:val="auto"/>
          <w:sz w:val="24"/>
          <w:szCs w:val="28"/>
        </w:rPr>
        <w:t xml:space="preserve">Facilita el acceso a los servicios que brinda la administración pública, y </w:t>
      </w:r>
      <w:r w:rsidR="000C2FAE" w:rsidRPr="00530548">
        <w:rPr>
          <w:rFonts w:asciiTheme="majorHAnsi" w:hAnsiTheme="majorHAnsi" w:cstheme="majorHAnsi"/>
          <w:b w:val="0"/>
          <w:color w:val="auto"/>
          <w:sz w:val="24"/>
          <w:szCs w:val="28"/>
        </w:rPr>
        <w:t>les</w:t>
      </w:r>
      <w:r w:rsidRPr="00530548">
        <w:rPr>
          <w:rFonts w:asciiTheme="majorHAnsi" w:hAnsiTheme="majorHAnsi" w:cstheme="majorHAnsi"/>
          <w:b w:val="0"/>
          <w:color w:val="auto"/>
          <w:sz w:val="24"/>
          <w:szCs w:val="28"/>
        </w:rPr>
        <w:t xml:space="preserve"> permite a las entidades simplificar, estandarizar, eliminar, optimizar y automatizar los trámites existentes, acercando el ciudadano a los servicios que presta el Estado, mediante la modernización y el aumento de la eficiencia de sus procedimientos.</w:t>
      </w:r>
    </w:p>
    <w:p w14:paraId="2DBF925F" w14:textId="295F1856" w:rsidR="002053EB" w:rsidRDefault="002053EB"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tbl>
      <w:tblPr>
        <w:tblW w:w="5000" w:type="pct"/>
        <w:tblCellMar>
          <w:left w:w="70" w:type="dxa"/>
          <w:right w:w="70" w:type="dxa"/>
        </w:tblCellMar>
        <w:tblLook w:val="04A0" w:firstRow="1" w:lastRow="0" w:firstColumn="1" w:lastColumn="0" w:noHBand="0" w:noVBand="1"/>
      </w:tblPr>
      <w:tblGrid>
        <w:gridCol w:w="365"/>
        <w:gridCol w:w="1663"/>
        <w:gridCol w:w="2037"/>
        <w:gridCol w:w="2095"/>
        <w:gridCol w:w="2058"/>
        <w:gridCol w:w="1585"/>
        <w:gridCol w:w="1585"/>
        <w:gridCol w:w="1030"/>
        <w:gridCol w:w="1585"/>
        <w:gridCol w:w="1385"/>
      </w:tblGrid>
      <w:tr w:rsidR="002053EB" w:rsidRPr="00B6144D" w14:paraId="2E5B673B" w14:textId="77777777" w:rsidTr="002053EB">
        <w:trPr>
          <w:trHeight w:val="450"/>
        </w:trPr>
        <w:tc>
          <w:tcPr>
            <w:tcW w:w="5000" w:type="pct"/>
            <w:gridSpan w:val="10"/>
            <w:tcBorders>
              <w:top w:val="single" w:sz="4" w:space="0" w:color="A6A6A6"/>
              <w:left w:val="single" w:sz="4" w:space="0" w:color="A6A6A6"/>
              <w:bottom w:val="single" w:sz="4" w:space="0" w:color="A6A6A6"/>
              <w:right w:val="single" w:sz="4" w:space="0" w:color="A6A6A6"/>
            </w:tcBorders>
            <w:shd w:val="clear" w:color="E7E6E6" w:fill="F2F2F2"/>
            <w:vAlign w:val="center"/>
            <w:hideMark/>
          </w:tcPr>
          <w:p w14:paraId="3627C272"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Componente 2: Estrategia de Racionalización de Trámites</w:t>
            </w:r>
          </w:p>
        </w:tc>
      </w:tr>
      <w:tr w:rsidR="002053EB" w:rsidRPr="00B6144D" w14:paraId="51AD13B5" w14:textId="77777777" w:rsidTr="002053EB">
        <w:trPr>
          <w:trHeight w:val="360"/>
        </w:trPr>
        <w:tc>
          <w:tcPr>
            <w:tcW w:w="121" w:type="pct"/>
            <w:vMerge w:val="restart"/>
            <w:tcBorders>
              <w:top w:val="nil"/>
              <w:left w:val="single" w:sz="4" w:space="0" w:color="A6A6A6"/>
              <w:bottom w:val="single" w:sz="4" w:space="0" w:color="A6A6A6"/>
              <w:right w:val="single" w:sz="4" w:space="0" w:color="A6A6A6"/>
            </w:tcBorders>
            <w:shd w:val="clear" w:color="E7E6E6" w:fill="F2F2F2"/>
            <w:vAlign w:val="center"/>
            <w:hideMark/>
          </w:tcPr>
          <w:p w14:paraId="039417C8"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N°</w:t>
            </w:r>
          </w:p>
        </w:tc>
        <w:tc>
          <w:tcPr>
            <w:tcW w:w="570" w:type="pct"/>
            <w:vMerge w:val="restart"/>
            <w:tcBorders>
              <w:top w:val="nil"/>
              <w:left w:val="single" w:sz="4" w:space="0" w:color="A6A6A6"/>
              <w:bottom w:val="single" w:sz="4" w:space="0" w:color="A6A6A6"/>
              <w:right w:val="single" w:sz="4" w:space="0" w:color="A6A6A6"/>
            </w:tcBorders>
            <w:shd w:val="clear" w:color="E7E6E6" w:fill="F2F2F2"/>
            <w:vAlign w:val="center"/>
            <w:hideMark/>
          </w:tcPr>
          <w:p w14:paraId="636102DC"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NOMBRE DEL TRÁMITE A RACIONALIZAR</w:t>
            </w:r>
          </w:p>
        </w:tc>
        <w:tc>
          <w:tcPr>
            <w:tcW w:w="3244" w:type="pct"/>
            <w:gridSpan w:val="5"/>
            <w:tcBorders>
              <w:top w:val="single" w:sz="4" w:space="0" w:color="A6A6A6"/>
              <w:left w:val="nil"/>
              <w:bottom w:val="single" w:sz="4" w:space="0" w:color="A6A6A6"/>
              <w:right w:val="single" w:sz="4" w:space="0" w:color="A6A6A6"/>
            </w:tcBorders>
            <w:shd w:val="clear" w:color="E7E6E6" w:fill="F2F2F2"/>
            <w:vAlign w:val="center"/>
            <w:hideMark/>
          </w:tcPr>
          <w:p w14:paraId="1BB79C66"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ACCIONES DE RACIONALIZACIÓN A DESARROLLAR</w:t>
            </w:r>
          </w:p>
        </w:tc>
        <w:tc>
          <w:tcPr>
            <w:tcW w:w="1064" w:type="pct"/>
            <w:gridSpan w:val="3"/>
            <w:tcBorders>
              <w:top w:val="single" w:sz="4" w:space="0" w:color="A6A6A6"/>
              <w:left w:val="nil"/>
              <w:bottom w:val="single" w:sz="4" w:space="0" w:color="A6A6A6"/>
              <w:right w:val="single" w:sz="4" w:space="0" w:color="A6A6A6"/>
            </w:tcBorders>
            <w:shd w:val="clear" w:color="E7E6E6" w:fill="F2F2F2"/>
            <w:vAlign w:val="center"/>
            <w:hideMark/>
          </w:tcPr>
          <w:p w14:paraId="6DF7ACCD"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PLAN DE EJECUCIÓN</w:t>
            </w:r>
          </w:p>
        </w:tc>
      </w:tr>
      <w:tr w:rsidR="002053EB" w:rsidRPr="00B6144D" w14:paraId="69968547" w14:textId="77777777" w:rsidTr="002053EB">
        <w:trPr>
          <w:trHeight w:val="705"/>
        </w:trPr>
        <w:tc>
          <w:tcPr>
            <w:tcW w:w="121" w:type="pct"/>
            <w:vMerge/>
            <w:tcBorders>
              <w:top w:val="nil"/>
              <w:left w:val="single" w:sz="4" w:space="0" w:color="A6A6A6"/>
              <w:bottom w:val="single" w:sz="4" w:space="0" w:color="A6A6A6"/>
              <w:right w:val="single" w:sz="4" w:space="0" w:color="A6A6A6"/>
            </w:tcBorders>
            <w:vAlign w:val="center"/>
            <w:hideMark/>
          </w:tcPr>
          <w:p w14:paraId="77D9DB7F" w14:textId="77777777" w:rsidR="002053EB" w:rsidRPr="00B6144D" w:rsidRDefault="002053EB" w:rsidP="002053EB">
            <w:pPr>
              <w:spacing w:line="240" w:lineRule="auto"/>
              <w:rPr>
                <w:rFonts w:asciiTheme="majorHAnsi" w:eastAsia="Times New Roman" w:hAnsiTheme="majorHAnsi" w:cstheme="majorHAnsi"/>
                <w:bCs/>
                <w:color w:val="000000"/>
                <w:sz w:val="20"/>
                <w:szCs w:val="20"/>
                <w:lang w:val="es-CO" w:eastAsia="es-CO"/>
              </w:rPr>
            </w:pPr>
          </w:p>
        </w:tc>
        <w:tc>
          <w:tcPr>
            <w:tcW w:w="570" w:type="pct"/>
            <w:vMerge/>
            <w:tcBorders>
              <w:top w:val="nil"/>
              <w:left w:val="single" w:sz="4" w:space="0" w:color="A6A6A6"/>
              <w:bottom w:val="single" w:sz="4" w:space="0" w:color="A6A6A6"/>
              <w:right w:val="single" w:sz="4" w:space="0" w:color="A6A6A6"/>
            </w:tcBorders>
            <w:vAlign w:val="center"/>
            <w:hideMark/>
          </w:tcPr>
          <w:p w14:paraId="7BC681AE" w14:textId="77777777" w:rsidR="002053EB" w:rsidRPr="00B6144D" w:rsidRDefault="002053EB" w:rsidP="002053EB">
            <w:pPr>
              <w:spacing w:line="240" w:lineRule="auto"/>
              <w:rPr>
                <w:rFonts w:asciiTheme="majorHAnsi" w:eastAsia="Times New Roman" w:hAnsiTheme="majorHAnsi" w:cstheme="majorHAnsi"/>
                <w:bCs/>
                <w:color w:val="000000"/>
                <w:sz w:val="20"/>
                <w:szCs w:val="20"/>
                <w:lang w:val="es-CO" w:eastAsia="es-CO"/>
              </w:rPr>
            </w:pPr>
          </w:p>
        </w:tc>
        <w:tc>
          <w:tcPr>
            <w:tcW w:w="773" w:type="pct"/>
            <w:tcBorders>
              <w:top w:val="nil"/>
              <w:left w:val="nil"/>
              <w:bottom w:val="single" w:sz="4" w:space="0" w:color="A6A6A6"/>
              <w:right w:val="single" w:sz="4" w:space="0" w:color="A6A6A6"/>
            </w:tcBorders>
            <w:shd w:val="clear" w:color="E7E6E6" w:fill="F2F2F2"/>
            <w:vAlign w:val="center"/>
            <w:hideMark/>
          </w:tcPr>
          <w:p w14:paraId="0969FBCE"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Situación actual</w:t>
            </w:r>
          </w:p>
        </w:tc>
        <w:tc>
          <w:tcPr>
            <w:tcW w:w="744" w:type="pct"/>
            <w:tcBorders>
              <w:top w:val="nil"/>
              <w:left w:val="nil"/>
              <w:bottom w:val="single" w:sz="4" w:space="0" w:color="A6A6A6"/>
              <w:right w:val="single" w:sz="4" w:space="0" w:color="A6A6A6"/>
            </w:tcBorders>
            <w:shd w:val="clear" w:color="E7E6E6" w:fill="F2F2F2"/>
            <w:vAlign w:val="center"/>
            <w:hideMark/>
          </w:tcPr>
          <w:p w14:paraId="41EDD099"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Mejora por implementar</w:t>
            </w:r>
          </w:p>
        </w:tc>
        <w:tc>
          <w:tcPr>
            <w:tcW w:w="732" w:type="pct"/>
            <w:tcBorders>
              <w:top w:val="nil"/>
              <w:left w:val="nil"/>
              <w:bottom w:val="single" w:sz="4" w:space="0" w:color="A6A6A6"/>
              <w:right w:val="single" w:sz="4" w:space="0" w:color="A6A6A6"/>
            </w:tcBorders>
            <w:shd w:val="clear" w:color="E7E6E6" w:fill="F2F2F2"/>
            <w:vAlign w:val="center"/>
            <w:hideMark/>
          </w:tcPr>
          <w:p w14:paraId="5B68515A"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Beneficio al ciudadano o entidad</w:t>
            </w:r>
          </w:p>
        </w:tc>
        <w:tc>
          <w:tcPr>
            <w:tcW w:w="477" w:type="pct"/>
            <w:tcBorders>
              <w:top w:val="nil"/>
              <w:left w:val="nil"/>
              <w:bottom w:val="single" w:sz="4" w:space="0" w:color="A6A6A6"/>
              <w:right w:val="single" w:sz="4" w:space="0" w:color="A6A6A6"/>
            </w:tcBorders>
            <w:shd w:val="clear" w:color="E7E6E6" w:fill="F2F2F2"/>
            <w:vAlign w:val="center"/>
            <w:hideMark/>
          </w:tcPr>
          <w:p w14:paraId="4C05C662"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Tipo racionalización</w:t>
            </w:r>
          </w:p>
        </w:tc>
        <w:tc>
          <w:tcPr>
            <w:tcW w:w="518" w:type="pct"/>
            <w:tcBorders>
              <w:top w:val="nil"/>
              <w:left w:val="nil"/>
              <w:bottom w:val="single" w:sz="4" w:space="0" w:color="A6A6A6"/>
              <w:right w:val="single" w:sz="4" w:space="0" w:color="A6A6A6"/>
            </w:tcBorders>
            <w:shd w:val="clear" w:color="E7E6E6" w:fill="F2F2F2"/>
            <w:vAlign w:val="center"/>
            <w:hideMark/>
          </w:tcPr>
          <w:p w14:paraId="14986B88"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Acciones racionalización</w:t>
            </w:r>
          </w:p>
        </w:tc>
        <w:tc>
          <w:tcPr>
            <w:tcW w:w="340" w:type="pct"/>
            <w:tcBorders>
              <w:top w:val="nil"/>
              <w:left w:val="nil"/>
              <w:bottom w:val="single" w:sz="4" w:space="0" w:color="A6A6A6"/>
              <w:right w:val="single" w:sz="4" w:space="0" w:color="A6A6A6"/>
            </w:tcBorders>
            <w:shd w:val="clear" w:color="E7E6E6" w:fill="F2F2F2"/>
            <w:vAlign w:val="center"/>
            <w:hideMark/>
          </w:tcPr>
          <w:p w14:paraId="3661F049"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Fecha</w:t>
            </w:r>
            <w:r w:rsidRPr="00B6144D">
              <w:rPr>
                <w:rFonts w:asciiTheme="majorHAnsi" w:eastAsia="Times New Roman" w:hAnsiTheme="majorHAnsi" w:cstheme="majorHAnsi"/>
                <w:bCs/>
                <w:color w:val="000000"/>
                <w:sz w:val="20"/>
                <w:szCs w:val="20"/>
                <w:lang w:val="es-CO" w:eastAsia="es-CO"/>
              </w:rPr>
              <w:br/>
              <w:t>inicio</w:t>
            </w:r>
          </w:p>
        </w:tc>
        <w:tc>
          <w:tcPr>
            <w:tcW w:w="384" w:type="pct"/>
            <w:tcBorders>
              <w:top w:val="nil"/>
              <w:left w:val="nil"/>
              <w:bottom w:val="single" w:sz="4" w:space="0" w:color="A6A6A6"/>
              <w:right w:val="single" w:sz="4" w:space="0" w:color="A6A6A6"/>
            </w:tcBorders>
            <w:shd w:val="clear" w:color="E7E6E6" w:fill="F2F2F2"/>
            <w:vAlign w:val="center"/>
            <w:hideMark/>
          </w:tcPr>
          <w:p w14:paraId="664BFCFB"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Fecha final racionalización</w:t>
            </w:r>
          </w:p>
        </w:tc>
        <w:tc>
          <w:tcPr>
            <w:tcW w:w="340" w:type="pct"/>
            <w:tcBorders>
              <w:top w:val="nil"/>
              <w:left w:val="nil"/>
              <w:bottom w:val="single" w:sz="4" w:space="0" w:color="A6A6A6"/>
              <w:right w:val="single" w:sz="4" w:space="0" w:color="A6A6A6"/>
            </w:tcBorders>
            <w:shd w:val="clear" w:color="E7E6E6" w:fill="F2F2F2"/>
            <w:vAlign w:val="center"/>
            <w:hideMark/>
          </w:tcPr>
          <w:p w14:paraId="0C350892"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Responsable</w:t>
            </w:r>
          </w:p>
        </w:tc>
      </w:tr>
      <w:tr w:rsidR="002053EB" w:rsidRPr="00B6144D" w14:paraId="22BBC88D" w14:textId="77777777" w:rsidTr="00B6144D">
        <w:trPr>
          <w:trHeight w:val="1394"/>
        </w:trPr>
        <w:tc>
          <w:tcPr>
            <w:tcW w:w="121" w:type="pct"/>
            <w:tcBorders>
              <w:top w:val="nil"/>
              <w:left w:val="single" w:sz="4" w:space="0" w:color="A6A6A6"/>
              <w:bottom w:val="single" w:sz="4" w:space="0" w:color="A6A6A6"/>
              <w:right w:val="single" w:sz="4" w:space="0" w:color="A6A6A6"/>
            </w:tcBorders>
            <w:shd w:val="clear" w:color="auto" w:fill="auto"/>
            <w:vAlign w:val="center"/>
            <w:hideMark/>
          </w:tcPr>
          <w:p w14:paraId="4E83F67E"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1</w:t>
            </w:r>
          </w:p>
        </w:tc>
        <w:tc>
          <w:tcPr>
            <w:tcW w:w="570" w:type="pct"/>
            <w:tcBorders>
              <w:top w:val="nil"/>
              <w:left w:val="nil"/>
              <w:bottom w:val="single" w:sz="4" w:space="0" w:color="A6A6A6"/>
              <w:right w:val="single" w:sz="4" w:space="0" w:color="A6A6A6"/>
            </w:tcBorders>
            <w:shd w:val="clear" w:color="auto" w:fill="auto"/>
            <w:vAlign w:val="center"/>
            <w:hideMark/>
          </w:tcPr>
          <w:p w14:paraId="379429B9"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Concesión de aguas superficiales - Corporaciones</w:t>
            </w:r>
          </w:p>
        </w:tc>
        <w:tc>
          <w:tcPr>
            <w:tcW w:w="773" w:type="pct"/>
            <w:tcBorders>
              <w:top w:val="nil"/>
              <w:left w:val="nil"/>
              <w:bottom w:val="single" w:sz="4" w:space="0" w:color="A6A6A6"/>
              <w:right w:val="single" w:sz="4" w:space="0" w:color="A6A6A6"/>
            </w:tcBorders>
            <w:shd w:val="clear" w:color="auto" w:fill="auto"/>
            <w:vAlign w:val="center"/>
            <w:hideMark/>
          </w:tcPr>
          <w:p w14:paraId="4A1171E7"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El ciudadano realiza el pago de la liquidación en la entidad bancaria y el comprobante debe presentarlo ante la tesorería de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para obtener el comprobante de ingreso y luego radicar este último en la ventanilla.</w:t>
            </w:r>
          </w:p>
        </w:tc>
        <w:tc>
          <w:tcPr>
            <w:tcW w:w="744" w:type="pct"/>
            <w:tcBorders>
              <w:top w:val="nil"/>
              <w:left w:val="nil"/>
              <w:bottom w:val="single" w:sz="4" w:space="0" w:color="A6A6A6"/>
              <w:right w:val="single" w:sz="4" w:space="0" w:color="A6A6A6"/>
            </w:tcBorders>
            <w:shd w:val="clear" w:color="auto" w:fill="auto"/>
            <w:vAlign w:val="center"/>
            <w:hideMark/>
          </w:tcPr>
          <w:p w14:paraId="1A4B80A3"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El ciudadano recibiría la liquidación y pagaría sin tener que regresar a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a conseguir un comprobante de ingreso y luego tener que radicarlo en la ventanilla de correspondencia de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w:t>
            </w:r>
          </w:p>
        </w:tc>
        <w:tc>
          <w:tcPr>
            <w:tcW w:w="732" w:type="pct"/>
            <w:tcBorders>
              <w:top w:val="nil"/>
              <w:left w:val="nil"/>
              <w:bottom w:val="single" w:sz="4" w:space="0" w:color="A6A6A6"/>
              <w:right w:val="single" w:sz="4" w:space="0" w:color="A6A6A6"/>
            </w:tcBorders>
            <w:shd w:val="clear" w:color="auto" w:fill="auto"/>
            <w:vAlign w:val="center"/>
            <w:hideMark/>
          </w:tcPr>
          <w:p w14:paraId="5D92BF43"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 Ahorro en tiempo de la gestión del ciudadano por no tener que devolverse a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a entregar los comprobantes.</w:t>
            </w:r>
            <w:r w:rsidRPr="00B6144D">
              <w:rPr>
                <w:rFonts w:asciiTheme="majorHAnsi" w:eastAsia="Times New Roman" w:hAnsiTheme="majorHAnsi" w:cstheme="majorHAnsi"/>
                <w:b w:val="0"/>
                <w:color w:val="000000"/>
                <w:sz w:val="20"/>
                <w:szCs w:val="20"/>
                <w:lang w:val="es-CO" w:eastAsia="es-CO"/>
              </w:rPr>
              <w:br/>
              <w:t>- Ahorro en dinero por movilización hacia y entre entidades para entrega de los comprobantes</w:t>
            </w:r>
            <w:r w:rsidRPr="00B6144D">
              <w:rPr>
                <w:rFonts w:asciiTheme="majorHAnsi" w:eastAsia="Times New Roman" w:hAnsiTheme="majorHAnsi" w:cstheme="majorHAnsi"/>
                <w:b w:val="0"/>
                <w:color w:val="000000"/>
                <w:sz w:val="20"/>
                <w:szCs w:val="20"/>
                <w:lang w:val="es-CO" w:eastAsia="es-CO"/>
              </w:rPr>
              <w:br/>
              <w:t>- Mejora en la calidad de vida de los usuarios por eliminación de pasos para gestionar su solicitud</w:t>
            </w:r>
          </w:p>
        </w:tc>
        <w:tc>
          <w:tcPr>
            <w:tcW w:w="477" w:type="pct"/>
            <w:tcBorders>
              <w:top w:val="nil"/>
              <w:left w:val="nil"/>
              <w:bottom w:val="single" w:sz="4" w:space="0" w:color="A6A6A6"/>
              <w:right w:val="single" w:sz="4" w:space="0" w:color="A6A6A6"/>
            </w:tcBorders>
            <w:shd w:val="clear" w:color="auto" w:fill="auto"/>
            <w:vAlign w:val="center"/>
            <w:hideMark/>
          </w:tcPr>
          <w:p w14:paraId="61C04335"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Administrativa</w:t>
            </w:r>
          </w:p>
        </w:tc>
        <w:tc>
          <w:tcPr>
            <w:tcW w:w="518" w:type="pct"/>
            <w:tcBorders>
              <w:top w:val="nil"/>
              <w:left w:val="nil"/>
              <w:bottom w:val="single" w:sz="4" w:space="0" w:color="A6A6A6"/>
              <w:right w:val="single" w:sz="4" w:space="0" w:color="A6A6A6"/>
            </w:tcBorders>
            <w:shd w:val="clear" w:color="auto" w:fill="auto"/>
            <w:vAlign w:val="center"/>
            <w:hideMark/>
          </w:tcPr>
          <w:p w14:paraId="27DF283D"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Reducción de pasos (momentos) para el ciudadano</w:t>
            </w:r>
          </w:p>
        </w:tc>
        <w:tc>
          <w:tcPr>
            <w:tcW w:w="340" w:type="pct"/>
            <w:tcBorders>
              <w:top w:val="nil"/>
              <w:left w:val="nil"/>
              <w:bottom w:val="single" w:sz="4" w:space="0" w:color="A6A6A6"/>
              <w:right w:val="single" w:sz="4" w:space="0" w:color="A6A6A6"/>
            </w:tcBorders>
            <w:shd w:val="clear" w:color="auto" w:fill="auto"/>
            <w:vAlign w:val="center"/>
            <w:hideMark/>
          </w:tcPr>
          <w:p w14:paraId="371779C9"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1/2/2021</w:t>
            </w:r>
          </w:p>
        </w:tc>
        <w:tc>
          <w:tcPr>
            <w:tcW w:w="384" w:type="pct"/>
            <w:tcBorders>
              <w:top w:val="nil"/>
              <w:left w:val="nil"/>
              <w:bottom w:val="single" w:sz="4" w:space="0" w:color="A6A6A6"/>
              <w:right w:val="single" w:sz="4" w:space="0" w:color="A6A6A6"/>
            </w:tcBorders>
            <w:shd w:val="clear" w:color="auto" w:fill="auto"/>
            <w:vAlign w:val="center"/>
            <w:hideMark/>
          </w:tcPr>
          <w:p w14:paraId="1AA7F4C1"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c>
          <w:tcPr>
            <w:tcW w:w="340" w:type="pct"/>
            <w:tcBorders>
              <w:top w:val="nil"/>
              <w:left w:val="nil"/>
              <w:bottom w:val="single" w:sz="4" w:space="0" w:color="A6A6A6"/>
              <w:right w:val="single" w:sz="4" w:space="0" w:color="A6A6A6"/>
            </w:tcBorders>
            <w:shd w:val="clear" w:color="auto" w:fill="auto"/>
            <w:vAlign w:val="center"/>
            <w:hideMark/>
          </w:tcPr>
          <w:p w14:paraId="386556B2"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Oficina de Planeación </w:t>
            </w:r>
          </w:p>
        </w:tc>
      </w:tr>
      <w:tr w:rsidR="002053EB" w:rsidRPr="00B6144D" w14:paraId="60478BB3" w14:textId="77777777" w:rsidTr="00B6144D">
        <w:trPr>
          <w:trHeight w:val="3360"/>
        </w:trPr>
        <w:tc>
          <w:tcPr>
            <w:tcW w:w="121"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909938E"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lastRenderedPageBreak/>
              <w:t>2</w:t>
            </w:r>
          </w:p>
        </w:tc>
        <w:tc>
          <w:tcPr>
            <w:tcW w:w="570" w:type="pct"/>
            <w:tcBorders>
              <w:top w:val="single" w:sz="4" w:space="0" w:color="A6A6A6"/>
              <w:left w:val="nil"/>
              <w:bottom w:val="single" w:sz="4" w:space="0" w:color="A6A6A6"/>
              <w:right w:val="single" w:sz="4" w:space="0" w:color="A6A6A6"/>
            </w:tcBorders>
            <w:shd w:val="clear" w:color="auto" w:fill="auto"/>
            <w:vAlign w:val="center"/>
            <w:hideMark/>
          </w:tcPr>
          <w:p w14:paraId="1F6E6942"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Concesión de aguas superficiales - Corporaciones</w:t>
            </w:r>
          </w:p>
        </w:tc>
        <w:tc>
          <w:tcPr>
            <w:tcW w:w="773" w:type="pct"/>
            <w:tcBorders>
              <w:top w:val="single" w:sz="4" w:space="0" w:color="A6A6A6"/>
              <w:left w:val="nil"/>
              <w:bottom w:val="single" w:sz="4" w:space="0" w:color="A6A6A6"/>
              <w:right w:val="single" w:sz="4" w:space="0" w:color="A6A6A6"/>
            </w:tcBorders>
            <w:shd w:val="clear" w:color="auto" w:fill="auto"/>
            <w:vAlign w:val="center"/>
            <w:hideMark/>
          </w:tcPr>
          <w:p w14:paraId="69C8C511"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 No se pueden relacionar las consignaciones realizadas por los usuarios de los trámites a menos que los mismos presenten ante la Tesorería de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el comprobante respectivo.</w:t>
            </w:r>
            <w:r w:rsidRPr="00B6144D">
              <w:rPr>
                <w:rFonts w:asciiTheme="majorHAnsi" w:eastAsia="Times New Roman" w:hAnsiTheme="majorHAnsi" w:cstheme="majorHAnsi"/>
                <w:b w:val="0"/>
                <w:color w:val="000000"/>
                <w:sz w:val="20"/>
                <w:szCs w:val="20"/>
                <w:lang w:val="es-CO" w:eastAsia="es-CO"/>
              </w:rPr>
              <w:br/>
              <w:t>- Se les requiere la radicación del comprobante de Ingreso producido por la Tesorería al Ciudadano para poder dar continuidad a su trámite.</w:t>
            </w:r>
          </w:p>
        </w:tc>
        <w:tc>
          <w:tcPr>
            <w:tcW w:w="744" w:type="pct"/>
            <w:tcBorders>
              <w:top w:val="single" w:sz="4" w:space="0" w:color="A6A6A6"/>
              <w:left w:val="nil"/>
              <w:bottom w:val="single" w:sz="4" w:space="0" w:color="A6A6A6"/>
              <w:right w:val="single" w:sz="4" w:space="0" w:color="A6A6A6"/>
            </w:tcBorders>
            <w:shd w:val="clear" w:color="auto" w:fill="auto"/>
            <w:vAlign w:val="center"/>
            <w:hideMark/>
          </w:tcPr>
          <w:p w14:paraId="563D10F0"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La Corporación obtiene de manera directa de la Entidad Bancaria la información relacionada con las consignaciones permitiendo agilizar internamente la gestión de los trámites.</w:t>
            </w:r>
          </w:p>
        </w:tc>
        <w:tc>
          <w:tcPr>
            <w:tcW w:w="732" w:type="pct"/>
            <w:tcBorders>
              <w:top w:val="single" w:sz="4" w:space="0" w:color="A6A6A6"/>
              <w:left w:val="nil"/>
              <w:bottom w:val="single" w:sz="4" w:space="0" w:color="A6A6A6"/>
              <w:right w:val="single" w:sz="4" w:space="0" w:color="A6A6A6"/>
            </w:tcBorders>
            <w:shd w:val="clear" w:color="auto" w:fill="auto"/>
            <w:vAlign w:val="center"/>
            <w:hideMark/>
          </w:tcPr>
          <w:p w14:paraId="7FBFB960"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Se elimina la necesidad del ciudadano de gestionar ante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los comprobantes de consignación relacionados a su trámite.</w:t>
            </w:r>
          </w:p>
        </w:tc>
        <w:tc>
          <w:tcPr>
            <w:tcW w:w="477" w:type="pct"/>
            <w:tcBorders>
              <w:top w:val="single" w:sz="4" w:space="0" w:color="A6A6A6"/>
              <w:left w:val="nil"/>
              <w:bottom w:val="single" w:sz="4" w:space="0" w:color="A6A6A6"/>
              <w:right w:val="single" w:sz="4" w:space="0" w:color="A6A6A6"/>
            </w:tcBorders>
            <w:shd w:val="clear" w:color="auto" w:fill="auto"/>
            <w:vAlign w:val="center"/>
            <w:hideMark/>
          </w:tcPr>
          <w:p w14:paraId="7937912E"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Administrativa</w:t>
            </w:r>
          </w:p>
        </w:tc>
        <w:tc>
          <w:tcPr>
            <w:tcW w:w="518" w:type="pct"/>
            <w:tcBorders>
              <w:top w:val="single" w:sz="4" w:space="0" w:color="A6A6A6"/>
              <w:left w:val="nil"/>
              <w:bottom w:val="single" w:sz="4" w:space="0" w:color="A6A6A6"/>
              <w:right w:val="single" w:sz="4" w:space="0" w:color="A6A6A6"/>
            </w:tcBorders>
            <w:shd w:val="clear" w:color="auto" w:fill="auto"/>
            <w:vAlign w:val="center"/>
            <w:hideMark/>
          </w:tcPr>
          <w:p w14:paraId="63C994E9"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Mejora u optimización del proceso o procedimiento asociado al trámite</w:t>
            </w:r>
          </w:p>
        </w:tc>
        <w:tc>
          <w:tcPr>
            <w:tcW w:w="340" w:type="pct"/>
            <w:tcBorders>
              <w:top w:val="single" w:sz="4" w:space="0" w:color="A6A6A6"/>
              <w:left w:val="nil"/>
              <w:bottom w:val="single" w:sz="4" w:space="0" w:color="A6A6A6"/>
              <w:right w:val="single" w:sz="4" w:space="0" w:color="A6A6A6"/>
            </w:tcBorders>
            <w:shd w:val="clear" w:color="auto" w:fill="auto"/>
            <w:vAlign w:val="center"/>
            <w:hideMark/>
          </w:tcPr>
          <w:p w14:paraId="47628A95"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1/11/2021</w:t>
            </w:r>
          </w:p>
        </w:tc>
        <w:tc>
          <w:tcPr>
            <w:tcW w:w="384" w:type="pct"/>
            <w:tcBorders>
              <w:top w:val="single" w:sz="4" w:space="0" w:color="A6A6A6"/>
              <w:left w:val="nil"/>
              <w:bottom w:val="single" w:sz="4" w:space="0" w:color="A6A6A6"/>
              <w:right w:val="single" w:sz="4" w:space="0" w:color="A6A6A6"/>
            </w:tcBorders>
            <w:shd w:val="clear" w:color="auto" w:fill="auto"/>
            <w:vAlign w:val="center"/>
            <w:hideMark/>
          </w:tcPr>
          <w:p w14:paraId="2A6B4B19"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c>
          <w:tcPr>
            <w:tcW w:w="340" w:type="pct"/>
            <w:tcBorders>
              <w:top w:val="single" w:sz="4" w:space="0" w:color="A6A6A6"/>
              <w:left w:val="nil"/>
              <w:bottom w:val="single" w:sz="4" w:space="0" w:color="A6A6A6"/>
              <w:right w:val="single" w:sz="4" w:space="0" w:color="A6A6A6"/>
            </w:tcBorders>
            <w:shd w:val="clear" w:color="auto" w:fill="auto"/>
            <w:vAlign w:val="center"/>
            <w:hideMark/>
          </w:tcPr>
          <w:p w14:paraId="712CD72B"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Gestión financiera</w:t>
            </w:r>
          </w:p>
        </w:tc>
      </w:tr>
      <w:tr w:rsidR="002053EB" w:rsidRPr="00B6144D" w14:paraId="1742D004" w14:textId="77777777" w:rsidTr="00B6144D">
        <w:trPr>
          <w:trHeight w:val="4170"/>
        </w:trPr>
        <w:tc>
          <w:tcPr>
            <w:tcW w:w="121"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3C72E44"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lastRenderedPageBreak/>
              <w:t>3</w:t>
            </w:r>
          </w:p>
        </w:tc>
        <w:tc>
          <w:tcPr>
            <w:tcW w:w="570" w:type="pct"/>
            <w:tcBorders>
              <w:top w:val="single" w:sz="4" w:space="0" w:color="A6A6A6"/>
              <w:left w:val="nil"/>
              <w:bottom w:val="single" w:sz="4" w:space="0" w:color="A6A6A6"/>
              <w:right w:val="single" w:sz="4" w:space="0" w:color="A6A6A6"/>
            </w:tcBorders>
            <w:shd w:val="clear" w:color="auto" w:fill="auto"/>
            <w:vAlign w:val="center"/>
            <w:hideMark/>
          </w:tcPr>
          <w:p w14:paraId="7B46B12E"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Concesión de aguas subterráneas</w:t>
            </w:r>
          </w:p>
        </w:tc>
        <w:tc>
          <w:tcPr>
            <w:tcW w:w="773" w:type="pct"/>
            <w:tcBorders>
              <w:top w:val="single" w:sz="4" w:space="0" w:color="A6A6A6"/>
              <w:left w:val="nil"/>
              <w:bottom w:val="single" w:sz="4" w:space="0" w:color="A6A6A6"/>
              <w:right w:val="single" w:sz="4" w:space="0" w:color="A6A6A6"/>
            </w:tcBorders>
            <w:shd w:val="clear" w:color="auto" w:fill="auto"/>
            <w:vAlign w:val="center"/>
            <w:hideMark/>
          </w:tcPr>
          <w:p w14:paraId="620820AE"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El ciudadano realiza el pago de la liquidación en la entidad bancaria y el comprobante debe presentarlo ante la tesorería de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para obtener el comprobante de ingreso y luego radicar este último en la ventanilla.</w:t>
            </w:r>
          </w:p>
        </w:tc>
        <w:tc>
          <w:tcPr>
            <w:tcW w:w="744" w:type="pct"/>
            <w:tcBorders>
              <w:top w:val="single" w:sz="4" w:space="0" w:color="A6A6A6"/>
              <w:left w:val="nil"/>
              <w:bottom w:val="single" w:sz="4" w:space="0" w:color="A6A6A6"/>
              <w:right w:val="single" w:sz="4" w:space="0" w:color="A6A6A6"/>
            </w:tcBorders>
            <w:shd w:val="clear" w:color="auto" w:fill="auto"/>
            <w:vAlign w:val="center"/>
            <w:hideMark/>
          </w:tcPr>
          <w:p w14:paraId="6CDA8D7F"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El ciudadano recibiría la liquidación y pagaría sin tener que regresar a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a conseguir un comprobante de ingreso y luego tener que radicarlo en la ventanilla de correspondencia de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w:t>
            </w:r>
          </w:p>
        </w:tc>
        <w:tc>
          <w:tcPr>
            <w:tcW w:w="732" w:type="pct"/>
            <w:tcBorders>
              <w:top w:val="single" w:sz="4" w:space="0" w:color="A6A6A6"/>
              <w:left w:val="nil"/>
              <w:bottom w:val="single" w:sz="4" w:space="0" w:color="A6A6A6"/>
              <w:right w:val="single" w:sz="4" w:space="0" w:color="A6A6A6"/>
            </w:tcBorders>
            <w:shd w:val="clear" w:color="auto" w:fill="auto"/>
            <w:vAlign w:val="center"/>
            <w:hideMark/>
          </w:tcPr>
          <w:p w14:paraId="17733C9F"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 Ahorro en tiempo de la gestión del ciudadano por no tener que devolverse a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a entregar los comprobantes.</w:t>
            </w:r>
            <w:r w:rsidRPr="00B6144D">
              <w:rPr>
                <w:rFonts w:asciiTheme="majorHAnsi" w:eastAsia="Times New Roman" w:hAnsiTheme="majorHAnsi" w:cstheme="majorHAnsi"/>
                <w:b w:val="0"/>
                <w:color w:val="000000"/>
                <w:sz w:val="20"/>
                <w:szCs w:val="20"/>
                <w:lang w:val="es-CO" w:eastAsia="es-CO"/>
              </w:rPr>
              <w:br/>
              <w:t>- Ahorro en dinero por movilización hacia y entre entidades para entrega de los comprobantes</w:t>
            </w:r>
            <w:r w:rsidRPr="00B6144D">
              <w:rPr>
                <w:rFonts w:asciiTheme="majorHAnsi" w:eastAsia="Times New Roman" w:hAnsiTheme="majorHAnsi" w:cstheme="majorHAnsi"/>
                <w:b w:val="0"/>
                <w:color w:val="000000"/>
                <w:sz w:val="20"/>
                <w:szCs w:val="20"/>
                <w:lang w:val="es-CO" w:eastAsia="es-CO"/>
              </w:rPr>
              <w:br/>
              <w:t>- Mejora en la calidad de vida de los usuarios por eliminación de pasos para gestionar su solicitud</w:t>
            </w:r>
          </w:p>
        </w:tc>
        <w:tc>
          <w:tcPr>
            <w:tcW w:w="477" w:type="pct"/>
            <w:tcBorders>
              <w:top w:val="single" w:sz="4" w:space="0" w:color="A6A6A6"/>
              <w:left w:val="nil"/>
              <w:bottom w:val="single" w:sz="4" w:space="0" w:color="A6A6A6"/>
              <w:right w:val="single" w:sz="4" w:space="0" w:color="A6A6A6"/>
            </w:tcBorders>
            <w:shd w:val="clear" w:color="auto" w:fill="auto"/>
            <w:vAlign w:val="center"/>
            <w:hideMark/>
          </w:tcPr>
          <w:p w14:paraId="3AE9606D"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Administrativa</w:t>
            </w:r>
          </w:p>
        </w:tc>
        <w:tc>
          <w:tcPr>
            <w:tcW w:w="518" w:type="pct"/>
            <w:tcBorders>
              <w:top w:val="single" w:sz="4" w:space="0" w:color="A6A6A6"/>
              <w:left w:val="nil"/>
              <w:bottom w:val="single" w:sz="4" w:space="0" w:color="A6A6A6"/>
              <w:right w:val="single" w:sz="4" w:space="0" w:color="A6A6A6"/>
            </w:tcBorders>
            <w:shd w:val="clear" w:color="auto" w:fill="auto"/>
            <w:vAlign w:val="center"/>
            <w:hideMark/>
          </w:tcPr>
          <w:p w14:paraId="26250613"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Reducción de pasos (momentos) para el ciudadano</w:t>
            </w:r>
          </w:p>
        </w:tc>
        <w:tc>
          <w:tcPr>
            <w:tcW w:w="340" w:type="pct"/>
            <w:tcBorders>
              <w:top w:val="single" w:sz="4" w:space="0" w:color="A6A6A6"/>
              <w:left w:val="nil"/>
              <w:bottom w:val="single" w:sz="4" w:space="0" w:color="A6A6A6"/>
              <w:right w:val="single" w:sz="4" w:space="0" w:color="A6A6A6"/>
            </w:tcBorders>
            <w:shd w:val="clear" w:color="auto" w:fill="auto"/>
            <w:vAlign w:val="center"/>
            <w:hideMark/>
          </w:tcPr>
          <w:p w14:paraId="7566BD86"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1/2/2021</w:t>
            </w:r>
          </w:p>
        </w:tc>
        <w:tc>
          <w:tcPr>
            <w:tcW w:w="384" w:type="pct"/>
            <w:tcBorders>
              <w:top w:val="single" w:sz="4" w:space="0" w:color="A6A6A6"/>
              <w:left w:val="nil"/>
              <w:bottom w:val="single" w:sz="4" w:space="0" w:color="A6A6A6"/>
              <w:right w:val="single" w:sz="4" w:space="0" w:color="A6A6A6"/>
            </w:tcBorders>
            <w:shd w:val="clear" w:color="auto" w:fill="auto"/>
            <w:vAlign w:val="center"/>
            <w:hideMark/>
          </w:tcPr>
          <w:p w14:paraId="0181A77C"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c>
          <w:tcPr>
            <w:tcW w:w="340" w:type="pct"/>
            <w:tcBorders>
              <w:top w:val="single" w:sz="4" w:space="0" w:color="A6A6A6"/>
              <w:left w:val="nil"/>
              <w:bottom w:val="single" w:sz="4" w:space="0" w:color="A6A6A6"/>
              <w:right w:val="single" w:sz="4" w:space="0" w:color="A6A6A6"/>
            </w:tcBorders>
            <w:shd w:val="clear" w:color="auto" w:fill="auto"/>
            <w:vAlign w:val="center"/>
            <w:hideMark/>
          </w:tcPr>
          <w:p w14:paraId="6602DF71"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Oficina de Planeación </w:t>
            </w:r>
          </w:p>
        </w:tc>
      </w:tr>
      <w:tr w:rsidR="002053EB" w:rsidRPr="00B6144D" w14:paraId="3AB5477E" w14:textId="77777777" w:rsidTr="00A5592E">
        <w:trPr>
          <w:trHeight w:val="1536"/>
        </w:trPr>
        <w:tc>
          <w:tcPr>
            <w:tcW w:w="121"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932DFD9"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4</w:t>
            </w:r>
          </w:p>
        </w:tc>
        <w:tc>
          <w:tcPr>
            <w:tcW w:w="570" w:type="pct"/>
            <w:tcBorders>
              <w:top w:val="single" w:sz="4" w:space="0" w:color="A6A6A6"/>
              <w:left w:val="nil"/>
              <w:bottom w:val="single" w:sz="4" w:space="0" w:color="A6A6A6"/>
              <w:right w:val="single" w:sz="4" w:space="0" w:color="A6A6A6"/>
            </w:tcBorders>
            <w:shd w:val="clear" w:color="auto" w:fill="auto"/>
            <w:vAlign w:val="center"/>
            <w:hideMark/>
          </w:tcPr>
          <w:p w14:paraId="2FC28317"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Concesión de aguas subterráneas</w:t>
            </w:r>
          </w:p>
        </w:tc>
        <w:tc>
          <w:tcPr>
            <w:tcW w:w="773" w:type="pct"/>
            <w:tcBorders>
              <w:top w:val="single" w:sz="4" w:space="0" w:color="A6A6A6"/>
              <w:left w:val="nil"/>
              <w:bottom w:val="single" w:sz="4" w:space="0" w:color="A6A6A6"/>
              <w:right w:val="single" w:sz="4" w:space="0" w:color="A6A6A6"/>
            </w:tcBorders>
            <w:shd w:val="clear" w:color="auto" w:fill="auto"/>
            <w:vAlign w:val="center"/>
            <w:hideMark/>
          </w:tcPr>
          <w:p w14:paraId="542BDB8D"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 No se pueden relacionar las consignaciones realizadas por los usuarios de los trámites a menos que los mismos presenten ante la Tesorería de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el comprobante respectivo.</w:t>
            </w:r>
            <w:r w:rsidRPr="00B6144D">
              <w:rPr>
                <w:rFonts w:asciiTheme="majorHAnsi" w:eastAsia="Times New Roman" w:hAnsiTheme="majorHAnsi" w:cstheme="majorHAnsi"/>
                <w:b w:val="0"/>
                <w:color w:val="000000"/>
                <w:sz w:val="20"/>
                <w:szCs w:val="20"/>
                <w:lang w:val="es-CO" w:eastAsia="es-CO"/>
              </w:rPr>
              <w:br/>
              <w:t xml:space="preserve">- Se les requiere la radicación del comprobante de Ingreso producido </w:t>
            </w:r>
            <w:r w:rsidRPr="00B6144D">
              <w:rPr>
                <w:rFonts w:asciiTheme="majorHAnsi" w:eastAsia="Times New Roman" w:hAnsiTheme="majorHAnsi" w:cstheme="majorHAnsi"/>
                <w:b w:val="0"/>
                <w:color w:val="000000"/>
                <w:sz w:val="20"/>
                <w:szCs w:val="20"/>
                <w:lang w:val="es-CO" w:eastAsia="es-CO"/>
              </w:rPr>
              <w:lastRenderedPageBreak/>
              <w:t>por la Tesorería al Ciudadano para poder dar continuidad a su trámite.</w:t>
            </w:r>
          </w:p>
        </w:tc>
        <w:tc>
          <w:tcPr>
            <w:tcW w:w="744" w:type="pct"/>
            <w:tcBorders>
              <w:top w:val="single" w:sz="4" w:space="0" w:color="A6A6A6"/>
              <w:left w:val="nil"/>
              <w:bottom w:val="single" w:sz="4" w:space="0" w:color="A6A6A6"/>
              <w:right w:val="single" w:sz="4" w:space="0" w:color="A6A6A6"/>
            </w:tcBorders>
            <w:shd w:val="clear" w:color="auto" w:fill="auto"/>
            <w:vAlign w:val="center"/>
            <w:hideMark/>
          </w:tcPr>
          <w:p w14:paraId="31929407"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lastRenderedPageBreak/>
              <w:t>La Corporación obtiene de manera directa de la Entidad Bancaria la información relacionada con las consignaciones permitiendo agilizar internamente la gestión de los trámites.</w:t>
            </w:r>
          </w:p>
        </w:tc>
        <w:tc>
          <w:tcPr>
            <w:tcW w:w="732" w:type="pct"/>
            <w:tcBorders>
              <w:top w:val="single" w:sz="4" w:space="0" w:color="A6A6A6"/>
              <w:left w:val="nil"/>
              <w:bottom w:val="single" w:sz="4" w:space="0" w:color="A6A6A6"/>
              <w:right w:val="single" w:sz="4" w:space="0" w:color="A6A6A6"/>
            </w:tcBorders>
            <w:shd w:val="clear" w:color="auto" w:fill="auto"/>
            <w:vAlign w:val="center"/>
            <w:hideMark/>
          </w:tcPr>
          <w:p w14:paraId="5F45A848"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Se elimina la necesidad del ciudadano de gestionar ante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los comprobantes de consignación relacionados a su trámite.</w:t>
            </w:r>
          </w:p>
        </w:tc>
        <w:tc>
          <w:tcPr>
            <w:tcW w:w="477" w:type="pct"/>
            <w:tcBorders>
              <w:top w:val="single" w:sz="4" w:space="0" w:color="A6A6A6"/>
              <w:left w:val="nil"/>
              <w:bottom w:val="single" w:sz="4" w:space="0" w:color="A6A6A6"/>
              <w:right w:val="single" w:sz="4" w:space="0" w:color="A6A6A6"/>
            </w:tcBorders>
            <w:shd w:val="clear" w:color="auto" w:fill="auto"/>
            <w:vAlign w:val="center"/>
            <w:hideMark/>
          </w:tcPr>
          <w:p w14:paraId="0E55C6E6"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Administrativa</w:t>
            </w:r>
          </w:p>
        </w:tc>
        <w:tc>
          <w:tcPr>
            <w:tcW w:w="518" w:type="pct"/>
            <w:tcBorders>
              <w:top w:val="single" w:sz="4" w:space="0" w:color="A6A6A6"/>
              <w:left w:val="nil"/>
              <w:bottom w:val="single" w:sz="4" w:space="0" w:color="A6A6A6"/>
              <w:right w:val="single" w:sz="4" w:space="0" w:color="A6A6A6"/>
            </w:tcBorders>
            <w:shd w:val="clear" w:color="auto" w:fill="auto"/>
            <w:vAlign w:val="center"/>
            <w:hideMark/>
          </w:tcPr>
          <w:p w14:paraId="0BBC18E2"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Mejora u optimización del proceso o procedimiento asociado al trámite</w:t>
            </w:r>
          </w:p>
        </w:tc>
        <w:tc>
          <w:tcPr>
            <w:tcW w:w="340" w:type="pct"/>
            <w:tcBorders>
              <w:top w:val="single" w:sz="4" w:space="0" w:color="A6A6A6"/>
              <w:left w:val="nil"/>
              <w:bottom w:val="single" w:sz="4" w:space="0" w:color="A6A6A6"/>
              <w:right w:val="single" w:sz="4" w:space="0" w:color="A6A6A6"/>
            </w:tcBorders>
            <w:shd w:val="clear" w:color="auto" w:fill="auto"/>
            <w:vAlign w:val="center"/>
            <w:hideMark/>
          </w:tcPr>
          <w:p w14:paraId="4A1359D6"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1/11/2021</w:t>
            </w:r>
          </w:p>
        </w:tc>
        <w:tc>
          <w:tcPr>
            <w:tcW w:w="384" w:type="pct"/>
            <w:tcBorders>
              <w:top w:val="single" w:sz="4" w:space="0" w:color="A6A6A6"/>
              <w:left w:val="nil"/>
              <w:bottom w:val="single" w:sz="4" w:space="0" w:color="A6A6A6"/>
              <w:right w:val="single" w:sz="4" w:space="0" w:color="A6A6A6"/>
            </w:tcBorders>
            <w:shd w:val="clear" w:color="auto" w:fill="auto"/>
            <w:vAlign w:val="center"/>
            <w:hideMark/>
          </w:tcPr>
          <w:p w14:paraId="636A485F"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c>
          <w:tcPr>
            <w:tcW w:w="340" w:type="pct"/>
            <w:tcBorders>
              <w:top w:val="single" w:sz="4" w:space="0" w:color="A6A6A6"/>
              <w:left w:val="nil"/>
              <w:bottom w:val="single" w:sz="4" w:space="0" w:color="A6A6A6"/>
              <w:right w:val="single" w:sz="4" w:space="0" w:color="A6A6A6"/>
            </w:tcBorders>
            <w:shd w:val="clear" w:color="auto" w:fill="auto"/>
            <w:vAlign w:val="center"/>
            <w:hideMark/>
          </w:tcPr>
          <w:p w14:paraId="7F675859"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Gestión financiera</w:t>
            </w:r>
          </w:p>
        </w:tc>
      </w:tr>
    </w:tbl>
    <w:p w14:paraId="40355C35" w14:textId="5A1F233C" w:rsidR="002053EB" w:rsidRDefault="002053EB"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p w14:paraId="7797A7A9" w14:textId="1007E9B2" w:rsidR="002053EB" w:rsidRDefault="002053EB"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p w14:paraId="1A9D0957" w14:textId="157C0083" w:rsidR="002053EB" w:rsidRDefault="002053EB"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p w14:paraId="5393FCE7" w14:textId="6F5A1284" w:rsidR="002053EB" w:rsidRDefault="002053EB"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p w14:paraId="6D8541AB" w14:textId="77777777" w:rsidR="002053EB" w:rsidRDefault="002053EB"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p w14:paraId="2193D16A" w14:textId="77777777" w:rsidR="002053EB" w:rsidRPr="00530548" w:rsidRDefault="002053EB" w:rsidP="004626C8">
      <w:pPr>
        <w:autoSpaceDE w:val="0"/>
        <w:autoSpaceDN w:val="0"/>
        <w:adjustRightInd w:val="0"/>
        <w:spacing w:line="240" w:lineRule="auto"/>
        <w:ind w:right="797"/>
        <w:jc w:val="both"/>
        <w:rPr>
          <w:rFonts w:asciiTheme="majorHAnsi" w:hAnsiTheme="majorHAnsi" w:cstheme="majorHAnsi"/>
          <w:color w:val="auto"/>
          <w:sz w:val="18"/>
          <w:szCs w:val="19"/>
        </w:rPr>
      </w:pPr>
    </w:p>
    <w:p w14:paraId="138CA57D" w14:textId="77777777" w:rsidR="00043A3F" w:rsidRPr="000C2FAE" w:rsidRDefault="00043A3F" w:rsidP="00043A3F">
      <w:pPr>
        <w:autoSpaceDE w:val="0"/>
        <w:autoSpaceDN w:val="0"/>
        <w:adjustRightInd w:val="0"/>
        <w:spacing w:line="240" w:lineRule="auto"/>
        <w:jc w:val="both"/>
        <w:rPr>
          <w:rFonts w:ascii="FuturaStd-Light" w:hAnsi="FuturaStd-Light" w:cs="FuturaStd-Light"/>
          <w:sz w:val="21"/>
          <w:szCs w:val="19"/>
        </w:rPr>
      </w:pPr>
    </w:p>
    <w:p w14:paraId="7BEAE7C4" w14:textId="77777777" w:rsidR="00080EDB" w:rsidRDefault="00080EDB">
      <w:pPr>
        <w:spacing w:after="200"/>
        <w:rPr>
          <w:rFonts w:asciiTheme="majorHAnsi" w:eastAsiaTheme="majorEastAsia" w:hAnsiTheme="majorHAnsi" w:cstheme="majorBidi"/>
          <w:bCs/>
          <w:sz w:val="32"/>
          <w:szCs w:val="32"/>
        </w:rPr>
      </w:pPr>
      <w:r>
        <w:rPr>
          <w:sz w:val="32"/>
          <w:szCs w:val="32"/>
        </w:rPr>
        <w:br w:type="page"/>
      </w:r>
    </w:p>
    <w:p w14:paraId="7DCA40BC" w14:textId="77777777" w:rsidR="00043A3F" w:rsidRPr="004626C8" w:rsidRDefault="00043A3F" w:rsidP="00316E49">
      <w:pPr>
        <w:pStyle w:val="Ttulo"/>
        <w:rPr>
          <w:rFonts w:cstheme="majorHAnsi"/>
          <w:sz w:val="32"/>
          <w:szCs w:val="32"/>
        </w:rPr>
      </w:pPr>
      <w:r w:rsidRPr="004626C8">
        <w:rPr>
          <w:rFonts w:cstheme="majorHAnsi"/>
          <w:sz w:val="32"/>
          <w:szCs w:val="32"/>
        </w:rPr>
        <w:lastRenderedPageBreak/>
        <w:t xml:space="preserve">3.3. Rendición de Cuentas </w:t>
      </w:r>
    </w:p>
    <w:p w14:paraId="53227A49" w14:textId="77777777" w:rsidR="00043A3F" w:rsidRPr="00530548" w:rsidRDefault="00043A3F" w:rsidP="00043A3F">
      <w:pPr>
        <w:autoSpaceDE w:val="0"/>
        <w:autoSpaceDN w:val="0"/>
        <w:adjustRightInd w:val="0"/>
        <w:spacing w:line="240" w:lineRule="auto"/>
        <w:jc w:val="both"/>
        <w:rPr>
          <w:rFonts w:asciiTheme="majorHAnsi" w:hAnsiTheme="majorHAnsi" w:cstheme="majorHAnsi"/>
          <w:color w:val="auto"/>
          <w:sz w:val="18"/>
          <w:szCs w:val="19"/>
        </w:rPr>
      </w:pPr>
    </w:p>
    <w:p w14:paraId="6CBA2473" w14:textId="2C3536BB" w:rsidR="00AD750D" w:rsidRDefault="00043A3F" w:rsidP="000C2FAE">
      <w:pPr>
        <w:autoSpaceDE w:val="0"/>
        <w:autoSpaceDN w:val="0"/>
        <w:adjustRightInd w:val="0"/>
        <w:spacing w:line="240" w:lineRule="auto"/>
        <w:ind w:right="939"/>
        <w:jc w:val="both"/>
        <w:rPr>
          <w:rFonts w:asciiTheme="majorHAnsi" w:hAnsiTheme="majorHAnsi" w:cstheme="majorHAnsi"/>
          <w:b w:val="0"/>
          <w:color w:val="auto"/>
          <w:sz w:val="24"/>
          <w:szCs w:val="28"/>
        </w:rPr>
      </w:pPr>
      <w:r w:rsidRPr="00530548">
        <w:rPr>
          <w:rFonts w:asciiTheme="majorHAnsi" w:hAnsiTheme="majorHAnsi" w:cstheme="majorHAnsi"/>
          <w:b w:val="0"/>
          <w:color w:val="auto"/>
          <w:sz w:val="24"/>
          <w:szCs w:val="28"/>
        </w:rPr>
        <w:t>Expresión del control social que comprende acciones de petición de información, diálogos e incentivos. Busca la adopción de un proceso transversal permanente de interacción entre servidores públicos —entidades— ciudadanos y los actores interesados en la gestión de los primeros y sus resultados. Así mismo, busca la transparencia de la gestión de la Administración Pública para lograr la adopción de los principios de Buen Gobierno.</w:t>
      </w:r>
    </w:p>
    <w:p w14:paraId="10817648" w14:textId="51A37389" w:rsidR="002053EB" w:rsidRDefault="002053EB"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tbl>
      <w:tblPr>
        <w:tblW w:w="5000" w:type="pct"/>
        <w:tblCellMar>
          <w:left w:w="70" w:type="dxa"/>
          <w:right w:w="70" w:type="dxa"/>
        </w:tblCellMar>
        <w:tblLook w:val="04A0" w:firstRow="1" w:lastRow="0" w:firstColumn="1" w:lastColumn="0" w:noHBand="0" w:noVBand="1"/>
      </w:tblPr>
      <w:tblGrid>
        <w:gridCol w:w="1741"/>
        <w:gridCol w:w="1884"/>
        <w:gridCol w:w="1884"/>
        <w:gridCol w:w="474"/>
        <w:gridCol w:w="3949"/>
        <w:gridCol w:w="2386"/>
        <w:gridCol w:w="1774"/>
        <w:gridCol w:w="1296"/>
      </w:tblGrid>
      <w:tr w:rsidR="002053EB" w:rsidRPr="00B6144D" w14:paraId="667A6951" w14:textId="77777777" w:rsidTr="002053EB">
        <w:trPr>
          <w:trHeight w:val="480"/>
        </w:trPr>
        <w:tc>
          <w:tcPr>
            <w:tcW w:w="5000" w:type="pct"/>
            <w:gridSpan w:val="8"/>
            <w:tcBorders>
              <w:top w:val="single" w:sz="4" w:space="0" w:color="595959"/>
              <w:left w:val="single" w:sz="4" w:space="0" w:color="595959"/>
              <w:bottom w:val="single" w:sz="4" w:space="0" w:color="595959"/>
              <w:right w:val="single" w:sz="4" w:space="0" w:color="595959"/>
            </w:tcBorders>
            <w:shd w:val="clear" w:color="000000" w:fill="F2F2F2"/>
            <w:vAlign w:val="center"/>
            <w:hideMark/>
          </w:tcPr>
          <w:p w14:paraId="115E3741"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t>Componente 3. Estrategia de Rendición de cuentas 2022</w:t>
            </w:r>
          </w:p>
        </w:tc>
      </w:tr>
      <w:tr w:rsidR="002053EB" w:rsidRPr="00B6144D" w14:paraId="795F3799" w14:textId="77777777" w:rsidTr="00B6144D">
        <w:trPr>
          <w:trHeight w:val="600"/>
        </w:trPr>
        <w:tc>
          <w:tcPr>
            <w:tcW w:w="519" w:type="pct"/>
            <w:tcBorders>
              <w:top w:val="nil"/>
              <w:left w:val="single" w:sz="4" w:space="0" w:color="595959"/>
              <w:bottom w:val="single" w:sz="4" w:space="0" w:color="595959"/>
              <w:right w:val="single" w:sz="4" w:space="0" w:color="595959"/>
            </w:tcBorders>
            <w:shd w:val="clear" w:color="000000" w:fill="F2F2F2"/>
            <w:vAlign w:val="center"/>
            <w:hideMark/>
          </w:tcPr>
          <w:p w14:paraId="01273051"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t>Elementos de la RC</w:t>
            </w:r>
          </w:p>
        </w:tc>
        <w:tc>
          <w:tcPr>
            <w:tcW w:w="644" w:type="pct"/>
            <w:tcBorders>
              <w:top w:val="nil"/>
              <w:left w:val="nil"/>
              <w:bottom w:val="single" w:sz="4" w:space="0" w:color="595959"/>
              <w:right w:val="single" w:sz="4" w:space="0" w:color="595959"/>
            </w:tcBorders>
            <w:shd w:val="clear" w:color="000000" w:fill="F2F2F2"/>
            <w:vAlign w:val="center"/>
            <w:hideMark/>
          </w:tcPr>
          <w:p w14:paraId="5775542A"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t>Meta/Reto</w:t>
            </w:r>
          </w:p>
        </w:tc>
        <w:tc>
          <w:tcPr>
            <w:tcW w:w="644" w:type="pct"/>
            <w:tcBorders>
              <w:top w:val="nil"/>
              <w:left w:val="nil"/>
              <w:bottom w:val="single" w:sz="4" w:space="0" w:color="595959"/>
              <w:right w:val="single" w:sz="4" w:space="0" w:color="595959"/>
            </w:tcBorders>
            <w:shd w:val="clear" w:color="000000" w:fill="F2F2F2"/>
            <w:vAlign w:val="center"/>
            <w:hideMark/>
          </w:tcPr>
          <w:p w14:paraId="4B2AA6B3"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t>Marco Jurídico</w:t>
            </w:r>
          </w:p>
        </w:tc>
        <w:tc>
          <w:tcPr>
            <w:tcW w:w="1411" w:type="pct"/>
            <w:gridSpan w:val="2"/>
            <w:tcBorders>
              <w:top w:val="single" w:sz="4" w:space="0" w:color="595959"/>
              <w:left w:val="nil"/>
              <w:bottom w:val="single" w:sz="4" w:space="0" w:color="595959"/>
              <w:right w:val="single" w:sz="4" w:space="0" w:color="595959"/>
            </w:tcBorders>
            <w:shd w:val="clear" w:color="000000" w:fill="F2F2F2"/>
            <w:vAlign w:val="center"/>
            <w:hideMark/>
          </w:tcPr>
          <w:p w14:paraId="3E4A055B"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t xml:space="preserve">Actividades </w:t>
            </w:r>
          </w:p>
        </w:tc>
        <w:tc>
          <w:tcPr>
            <w:tcW w:w="800" w:type="pct"/>
            <w:tcBorders>
              <w:top w:val="nil"/>
              <w:left w:val="nil"/>
              <w:bottom w:val="single" w:sz="4" w:space="0" w:color="595959"/>
              <w:right w:val="single" w:sz="4" w:space="0" w:color="595959"/>
            </w:tcBorders>
            <w:shd w:val="clear" w:color="000000" w:fill="F2F2F2"/>
            <w:vAlign w:val="center"/>
            <w:hideMark/>
          </w:tcPr>
          <w:p w14:paraId="38BC5637"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t>Meta o producto</w:t>
            </w:r>
          </w:p>
        </w:tc>
        <w:tc>
          <w:tcPr>
            <w:tcW w:w="615" w:type="pct"/>
            <w:tcBorders>
              <w:top w:val="nil"/>
              <w:left w:val="nil"/>
              <w:bottom w:val="single" w:sz="4" w:space="0" w:color="595959"/>
              <w:right w:val="single" w:sz="4" w:space="0" w:color="595959"/>
            </w:tcBorders>
            <w:shd w:val="clear" w:color="000000" w:fill="F2F2F2"/>
            <w:vAlign w:val="center"/>
            <w:hideMark/>
          </w:tcPr>
          <w:p w14:paraId="2C4453DF"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t>Responsable</w:t>
            </w:r>
          </w:p>
        </w:tc>
        <w:tc>
          <w:tcPr>
            <w:tcW w:w="367" w:type="pct"/>
            <w:tcBorders>
              <w:top w:val="nil"/>
              <w:left w:val="nil"/>
              <w:bottom w:val="single" w:sz="4" w:space="0" w:color="595959"/>
              <w:right w:val="single" w:sz="4" w:space="0" w:color="595959"/>
            </w:tcBorders>
            <w:shd w:val="clear" w:color="000000" w:fill="F2F2F2"/>
            <w:vAlign w:val="center"/>
            <w:hideMark/>
          </w:tcPr>
          <w:p w14:paraId="54526E53"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t>Fecha programada</w:t>
            </w:r>
          </w:p>
        </w:tc>
      </w:tr>
      <w:tr w:rsidR="002053EB" w:rsidRPr="00B6144D" w14:paraId="31FF484D" w14:textId="77777777" w:rsidTr="00B6144D">
        <w:trPr>
          <w:trHeight w:val="1455"/>
        </w:trPr>
        <w:tc>
          <w:tcPr>
            <w:tcW w:w="519"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54E4D36E"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t>1. Información</w:t>
            </w:r>
          </w:p>
        </w:tc>
        <w:tc>
          <w:tcPr>
            <w:tcW w:w="644"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698FFDB2"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 xml:space="preserve">La Corporación informa públicamente la gestión y avances en la </w:t>
            </w:r>
            <w:proofErr w:type="spellStart"/>
            <w:r w:rsidRPr="00B6144D">
              <w:rPr>
                <w:rFonts w:asciiTheme="majorHAnsi" w:eastAsia="Times New Roman" w:hAnsiTheme="majorHAnsi" w:cstheme="majorHAnsi"/>
                <w:b w:val="0"/>
                <w:color w:val="auto"/>
                <w:sz w:val="20"/>
                <w:szCs w:val="20"/>
                <w:lang w:val="es-CO" w:eastAsia="es-CO"/>
              </w:rPr>
              <w:t>garantia</w:t>
            </w:r>
            <w:proofErr w:type="spellEnd"/>
            <w:r w:rsidRPr="00B6144D">
              <w:rPr>
                <w:rFonts w:asciiTheme="majorHAnsi" w:eastAsia="Times New Roman" w:hAnsiTheme="majorHAnsi" w:cstheme="majorHAnsi"/>
                <w:b w:val="0"/>
                <w:color w:val="auto"/>
                <w:sz w:val="20"/>
                <w:szCs w:val="20"/>
                <w:lang w:val="es-CO" w:eastAsia="es-CO"/>
              </w:rPr>
              <w:t xml:space="preserve"> de derechos. Así mismo, se adelanta a las necesidades de información de sus grupos de valor para garantizar un alto nivel  de transparencia y acceso a la información en </w:t>
            </w:r>
            <w:r w:rsidRPr="00B6144D">
              <w:rPr>
                <w:rFonts w:asciiTheme="majorHAnsi" w:eastAsia="Times New Roman" w:hAnsiTheme="majorHAnsi" w:cstheme="majorHAnsi"/>
                <w:b w:val="0"/>
                <w:color w:val="auto"/>
                <w:sz w:val="20"/>
                <w:szCs w:val="20"/>
                <w:lang w:val="es-CO" w:eastAsia="es-CO"/>
              </w:rPr>
              <w:lastRenderedPageBreak/>
              <w:t>lenguaje claro, veraz y confiable.</w:t>
            </w: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54049497"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lastRenderedPageBreak/>
              <w:t>Ley 1712 de 2014 - Transparencia y Acceso a la Información Pública</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4EC55985"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1.1</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0408160B"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 xml:space="preserve">Monitoreo a la información de interés y establecida por la Ley 1712 de 2014 (Ley de  Transparencia) en la Página web de </w:t>
            </w:r>
            <w:proofErr w:type="spellStart"/>
            <w:r w:rsidRPr="00B6144D">
              <w:rPr>
                <w:rFonts w:asciiTheme="majorHAnsi" w:eastAsia="Times New Roman" w:hAnsiTheme="majorHAnsi" w:cstheme="majorHAnsi"/>
                <w:b w:val="0"/>
                <w:color w:val="auto"/>
                <w:sz w:val="20"/>
                <w:szCs w:val="20"/>
                <w:lang w:val="es-CO" w:eastAsia="es-CO"/>
              </w:rPr>
              <w:t>Corpamag</w:t>
            </w:r>
            <w:proofErr w:type="spellEnd"/>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4542457D"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 xml:space="preserve">(4) </w:t>
            </w:r>
            <w:proofErr w:type="spellStart"/>
            <w:r w:rsidRPr="00B6144D">
              <w:rPr>
                <w:rFonts w:asciiTheme="majorHAnsi" w:eastAsia="Times New Roman" w:hAnsiTheme="majorHAnsi" w:cstheme="majorHAnsi"/>
                <w:b w:val="0"/>
                <w:color w:val="auto"/>
                <w:sz w:val="20"/>
                <w:szCs w:val="20"/>
                <w:lang w:val="es-CO" w:eastAsia="es-CO"/>
              </w:rPr>
              <w:t>Monitoreos</w:t>
            </w:r>
            <w:proofErr w:type="spellEnd"/>
            <w:r w:rsidRPr="00B6144D">
              <w:rPr>
                <w:rFonts w:asciiTheme="majorHAnsi" w:eastAsia="Times New Roman" w:hAnsiTheme="majorHAnsi" w:cstheme="majorHAnsi"/>
                <w:b w:val="0"/>
                <w:color w:val="auto"/>
                <w:sz w:val="20"/>
                <w:szCs w:val="20"/>
                <w:lang w:val="es-CO" w:eastAsia="es-CO"/>
              </w:rPr>
              <w:t xml:space="preserve"> al Esquema de Publicación de la Información de </w:t>
            </w:r>
            <w:proofErr w:type="spellStart"/>
            <w:r w:rsidRPr="00B6144D">
              <w:rPr>
                <w:rFonts w:asciiTheme="majorHAnsi" w:eastAsia="Times New Roman" w:hAnsiTheme="majorHAnsi" w:cstheme="majorHAnsi"/>
                <w:b w:val="0"/>
                <w:color w:val="auto"/>
                <w:sz w:val="20"/>
                <w:szCs w:val="20"/>
                <w:lang w:val="es-CO" w:eastAsia="es-CO"/>
              </w:rPr>
              <w:t>Corpamag</w:t>
            </w:r>
            <w:proofErr w:type="spellEnd"/>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1A70ADAB"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Responsables de la Información asignados en el Esquema de Publicación y Oficina de Planeación</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6FC34A1E"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Marzo - Junio-Septiembre - Diciembre de 2022</w:t>
            </w:r>
          </w:p>
        </w:tc>
      </w:tr>
      <w:tr w:rsidR="002053EB" w:rsidRPr="00B6144D" w14:paraId="1C058478" w14:textId="77777777" w:rsidTr="00B6144D">
        <w:trPr>
          <w:trHeight w:val="1245"/>
        </w:trPr>
        <w:tc>
          <w:tcPr>
            <w:tcW w:w="519" w:type="pct"/>
            <w:vMerge/>
            <w:tcBorders>
              <w:top w:val="nil"/>
              <w:left w:val="single" w:sz="4" w:space="0" w:color="595959"/>
              <w:bottom w:val="single" w:sz="4" w:space="0" w:color="595959"/>
              <w:right w:val="single" w:sz="4" w:space="0" w:color="595959"/>
            </w:tcBorders>
            <w:vAlign w:val="center"/>
            <w:hideMark/>
          </w:tcPr>
          <w:p w14:paraId="29857EED" w14:textId="77777777" w:rsidR="002053EB" w:rsidRPr="00B6144D" w:rsidRDefault="002053EB" w:rsidP="002053EB">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0163127C"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50C8BDFE"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402D93CA"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1.2</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2F8B7B82" w14:textId="760B5115"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Generar información basada en datos, logros, avances de la gestión de acuerdo a los programas</w:t>
            </w:r>
            <w:r w:rsidR="00B6144D">
              <w:rPr>
                <w:rFonts w:asciiTheme="majorHAnsi" w:eastAsia="Times New Roman" w:hAnsiTheme="majorHAnsi" w:cstheme="majorHAnsi"/>
                <w:b w:val="0"/>
                <w:color w:val="auto"/>
                <w:sz w:val="20"/>
                <w:szCs w:val="20"/>
                <w:lang w:val="es-CO" w:eastAsia="es-CO"/>
              </w:rPr>
              <w:t xml:space="preserve"> del POAI 2022 relacionando los</w:t>
            </w:r>
            <w:r w:rsidRPr="00B6144D">
              <w:rPr>
                <w:rFonts w:asciiTheme="majorHAnsi" w:eastAsia="Times New Roman" w:hAnsiTheme="majorHAnsi" w:cstheme="majorHAnsi"/>
                <w:b w:val="0"/>
                <w:color w:val="auto"/>
                <w:sz w:val="20"/>
                <w:szCs w:val="20"/>
                <w:lang w:val="es-CO" w:eastAsia="es-CO"/>
              </w:rPr>
              <w:t xml:space="preserve"> ODS y derechos humanos. </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150DFCE0"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Documento Estrategia de Comunicaciones para la Rendición de Cuentas vigencia 2022</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54AADE43"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Profesional de Comunicaciones / Equipo de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3A1D95B8"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28/02/2022</w:t>
            </w:r>
          </w:p>
        </w:tc>
      </w:tr>
      <w:tr w:rsidR="002053EB" w:rsidRPr="00B6144D" w14:paraId="7D8F2914" w14:textId="77777777" w:rsidTr="00B6144D">
        <w:trPr>
          <w:trHeight w:val="1245"/>
        </w:trPr>
        <w:tc>
          <w:tcPr>
            <w:tcW w:w="519" w:type="pct"/>
            <w:vMerge/>
            <w:tcBorders>
              <w:top w:val="nil"/>
              <w:left w:val="single" w:sz="4" w:space="0" w:color="595959"/>
              <w:bottom w:val="single" w:sz="4" w:space="0" w:color="595959"/>
              <w:right w:val="single" w:sz="4" w:space="0" w:color="595959"/>
            </w:tcBorders>
            <w:vAlign w:val="center"/>
            <w:hideMark/>
          </w:tcPr>
          <w:p w14:paraId="1AB7B428" w14:textId="77777777" w:rsidR="002053EB" w:rsidRPr="00B6144D" w:rsidRDefault="002053EB" w:rsidP="002053EB">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14871DBA"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1E8C2F15"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02F6E930"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1.3</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555C7E86" w14:textId="66B02EF5" w:rsidR="002053EB" w:rsidRPr="00B6144D" w:rsidRDefault="00A159D4" w:rsidP="002053EB">
            <w:pPr>
              <w:spacing w:line="240" w:lineRule="auto"/>
              <w:rPr>
                <w:rFonts w:asciiTheme="majorHAnsi" w:eastAsia="Times New Roman" w:hAnsiTheme="majorHAnsi" w:cstheme="majorHAnsi"/>
                <w:b w:val="0"/>
                <w:color w:val="auto"/>
                <w:sz w:val="20"/>
                <w:szCs w:val="20"/>
                <w:lang w:val="es-CO" w:eastAsia="es-CO"/>
              </w:rPr>
            </w:pPr>
            <w:r w:rsidRPr="00A159D4">
              <w:rPr>
                <w:rFonts w:asciiTheme="majorHAnsi" w:eastAsia="Times New Roman" w:hAnsiTheme="majorHAnsi" w:cstheme="majorHAnsi"/>
                <w:b w:val="0"/>
                <w:color w:val="auto"/>
                <w:sz w:val="20"/>
                <w:szCs w:val="20"/>
                <w:lang w:val="es-CO" w:eastAsia="es-CO"/>
              </w:rPr>
              <w:t xml:space="preserve">Divulgar por diversos canales de comunicación de </w:t>
            </w:r>
            <w:proofErr w:type="spellStart"/>
            <w:r w:rsidRPr="00A159D4">
              <w:rPr>
                <w:rFonts w:asciiTheme="majorHAnsi" w:eastAsia="Times New Roman" w:hAnsiTheme="majorHAnsi" w:cstheme="majorHAnsi"/>
                <w:b w:val="0"/>
                <w:color w:val="auto"/>
                <w:sz w:val="20"/>
                <w:szCs w:val="20"/>
                <w:lang w:val="es-CO" w:eastAsia="es-CO"/>
              </w:rPr>
              <w:t>Corpamag</w:t>
            </w:r>
            <w:proofErr w:type="spellEnd"/>
            <w:r w:rsidRPr="00A159D4">
              <w:rPr>
                <w:rFonts w:asciiTheme="majorHAnsi" w:eastAsia="Times New Roman" w:hAnsiTheme="majorHAnsi" w:cstheme="majorHAnsi"/>
                <w:b w:val="0"/>
                <w:color w:val="auto"/>
                <w:sz w:val="20"/>
                <w:szCs w:val="20"/>
                <w:lang w:val="es-CO" w:eastAsia="es-CO"/>
              </w:rPr>
              <w:t xml:space="preserve"> contenidos informativos relacionados a las temáticas de los espacios de diálogos establecidos para la vigencia 2022</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586EBB57" w14:textId="25EC50A9" w:rsidR="002053EB" w:rsidRPr="00B6144D" w:rsidRDefault="00A159D4" w:rsidP="002053EB">
            <w:pPr>
              <w:spacing w:line="240" w:lineRule="auto"/>
              <w:jc w:val="center"/>
              <w:rPr>
                <w:rFonts w:asciiTheme="majorHAnsi" w:eastAsia="Times New Roman" w:hAnsiTheme="majorHAnsi" w:cstheme="majorHAnsi"/>
                <w:b w:val="0"/>
                <w:color w:val="auto"/>
                <w:sz w:val="20"/>
                <w:szCs w:val="20"/>
                <w:lang w:val="es-CO" w:eastAsia="es-CO"/>
              </w:rPr>
            </w:pPr>
            <w:r w:rsidRPr="00A159D4">
              <w:rPr>
                <w:rFonts w:asciiTheme="majorHAnsi" w:eastAsia="Times New Roman" w:hAnsiTheme="majorHAnsi" w:cstheme="majorHAnsi"/>
                <w:b w:val="0"/>
                <w:color w:val="auto"/>
                <w:sz w:val="20"/>
                <w:szCs w:val="20"/>
                <w:lang w:val="es-CO" w:eastAsia="es-CO"/>
              </w:rPr>
              <w:t>Informe de divulgación</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2B15CF39"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Profesional de Comunicaciones / Equipo de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7EBB96A5"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31/12/2022</w:t>
            </w:r>
          </w:p>
        </w:tc>
      </w:tr>
      <w:tr w:rsidR="002053EB" w:rsidRPr="00B6144D" w14:paraId="01D5C641" w14:textId="77777777" w:rsidTr="00B6144D">
        <w:trPr>
          <w:trHeight w:val="1245"/>
        </w:trPr>
        <w:tc>
          <w:tcPr>
            <w:tcW w:w="519" w:type="pct"/>
            <w:vMerge/>
            <w:tcBorders>
              <w:top w:val="nil"/>
              <w:left w:val="single" w:sz="4" w:space="0" w:color="595959"/>
              <w:bottom w:val="single" w:sz="4" w:space="0" w:color="595959"/>
              <w:right w:val="single" w:sz="4" w:space="0" w:color="595959"/>
            </w:tcBorders>
            <w:vAlign w:val="center"/>
            <w:hideMark/>
          </w:tcPr>
          <w:p w14:paraId="7827EF41" w14:textId="77777777" w:rsidR="002053EB" w:rsidRPr="00B6144D" w:rsidRDefault="002053EB" w:rsidP="002053EB">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2F128EB8"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75F9F74A"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1190D8E8"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1.4</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7CDDFC0B"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Publicar informes de rendición de cuentas semestral en la sección de transparencia.</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6B1B21F0"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Informe Semestral de la Estrategia de Rendición de Cuentas</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0AF1DC6B"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Oficina de Planeación</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7BA19B75"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15/07/2022 - 29 de Diciembre 2022</w:t>
            </w:r>
          </w:p>
        </w:tc>
      </w:tr>
      <w:tr w:rsidR="002053EB" w:rsidRPr="00B6144D" w14:paraId="259C26C4" w14:textId="77777777" w:rsidTr="00B6144D">
        <w:trPr>
          <w:trHeight w:val="1245"/>
        </w:trPr>
        <w:tc>
          <w:tcPr>
            <w:tcW w:w="519" w:type="pct"/>
            <w:vMerge/>
            <w:tcBorders>
              <w:top w:val="nil"/>
              <w:left w:val="single" w:sz="4" w:space="0" w:color="595959"/>
              <w:bottom w:val="single" w:sz="4" w:space="0" w:color="595959"/>
              <w:right w:val="single" w:sz="4" w:space="0" w:color="595959"/>
            </w:tcBorders>
            <w:vAlign w:val="center"/>
            <w:hideMark/>
          </w:tcPr>
          <w:p w14:paraId="01234AB6" w14:textId="77777777" w:rsidR="002053EB" w:rsidRPr="00B6144D" w:rsidRDefault="002053EB" w:rsidP="002053EB">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41F5EA35"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1226C5AC"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747A16B9"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1.5</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0AC69CBD"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Atender de manera proactiva la demanda ciudadana por información publicando aquellos datos que son de su interés y que responden a sus problemas.</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0077B6EF"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 xml:space="preserve">Catálogo de Mapas actualizado con toda la información disponible en la Corporación y en formatos accesibles. </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0BB1B21D"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Oficina de Planeación/Grupo OMA y Gestión TIC</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3B0ABA5C"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30/11/2022</w:t>
            </w:r>
          </w:p>
        </w:tc>
      </w:tr>
      <w:tr w:rsidR="002053EB" w:rsidRPr="00B6144D" w14:paraId="09B4ADDC" w14:textId="77777777" w:rsidTr="00B6144D">
        <w:trPr>
          <w:trHeight w:val="1245"/>
        </w:trPr>
        <w:tc>
          <w:tcPr>
            <w:tcW w:w="519" w:type="pct"/>
            <w:vMerge/>
            <w:tcBorders>
              <w:top w:val="nil"/>
              <w:left w:val="single" w:sz="4" w:space="0" w:color="595959"/>
              <w:bottom w:val="single" w:sz="4" w:space="0" w:color="595959"/>
              <w:right w:val="single" w:sz="4" w:space="0" w:color="595959"/>
            </w:tcBorders>
            <w:vAlign w:val="center"/>
            <w:hideMark/>
          </w:tcPr>
          <w:p w14:paraId="7287E5FF" w14:textId="77777777" w:rsidR="002053EB" w:rsidRPr="00B6144D" w:rsidRDefault="002053EB" w:rsidP="002053EB">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628F5BB3"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30BDC9CE"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7BF3AD43"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1.6</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4E4AE3D7"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 xml:space="preserve">Actualizar guía para identificar y abordar claramente el procedimiento y formas de participación para los espacios de diálogos priorizados por </w:t>
            </w:r>
            <w:proofErr w:type="spellStart"/>
            <w:r w:rsidRPr="00B6144D">
              <w:rPr>
                <w:rFonts w:asciiTheme="majorHAnsi" w:eastAsia="Times New Roman" w:hAnsiTheme="majorHAnsi" w:cstheme="majorHAnsi"/>
                <w:b w:val="0"/>
                <w:color w:val="auto"/>
                <w:sz w:val="20"/>
                <w:szCs w:val="20"/>
                <w:lang w:val="es-CO" w:eastAsia="es-CO"/>
              </w:rPr>
              <w:t>Corpamag</w:t>
            </w:r>
            <w:proofErr w:type="spellEnd"/>
            <w:r w:rsidRPr="00B6144D">
              <w:rPr>
                <w:rFonts w:asciiTheme="majorHAnsi" w:eastAsia="Times New Roman" w:hAnsiTheme="majorHAnsi" w:cstheme="majorHAnsi"/>
                <w:b w:val="0"/>
                <w:color w:val="auto"/>
                <w:sz w:val="20"/>
                <w:szCs w:val="20"/>
                <w:lang w:val="es-CO" w:eastAsia="es-CO"/>
              </w:rPr>
              <w:t xml:space="preserve">. </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2A139CBA"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 xml:space="preserve">Un (1) documento Guía de Rendición de Cuentas de </w:t>
            </w:r>
            <w:proofErr w:type="spellStart"/>
            <w:r w:rsidRPr="00B6144D">
              <w:rPr>
                <w:rFonts w:asciiTheme="majorHAnsi" w:eastAsia="Times New Roman" w:hAnsiTheme="majorHAnsi" w:cstheme="majorHAnsi"/>
                <w:b w:val="0"/>
                <w:color w:val="auto"/>
                <w:sz w:val="20"/>
                <w:szCs w:val="20"/>
                <w:lang w:val="es-CO" w:eastAsia="es-CO"/>
              </w:rPr>
              <w:t>Corpamag</w:t>
            </w:r>
            <w:proofErr w:type="spellEnd"/>
            <w:r w:rsidRPr="00B6144D">
              <w:rPr>
                <w:rFonts w:asciiTheme="majorHAnsi" w:eastAsia="Times New Roman" w:hAnsiTheme="majorHAnsi" w:cstheme="majorHAnsi"/>
                <w:b w:val="0"/>
                <w:color w:val="auto"/>
                <w:sz w:val="20"/>
                <w:szCs w:val="20"/>
                <w:lang w:val="es-CO" w:eastAsia="es-CO"/>
              </w:rPr>
              <w:t xml:space="preserve"> 2022</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4D705B72"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Equipo de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6A70F004"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28/02/2022</w:t>
            </w:r>
          </w:p>
        </w:tc>
      </w:tr>
      <w:tr w:rsidR="002053EB" w:rsidRPr="00B6144D" w14:paraId="154507EB" w14:textId="77777777" w:rsidTr="00B6144D">
        <w:trPr>
          <w:trHeight w:val="1185"/>
        </w:trPr>
        <w:tc>
          <w:tcPr>
            <w:tcW w:w="519"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737E93AE"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t>2. Diálogo</w:t>
            </w:r>
          </w:p>
        </w:tc>
        <w:tc>
          <w:tcPr>
            <w:tcW w:w="644"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59F47458" w14:textId="2B329C6C" w:rsidR="002053EB" w:rsidRPr="00B6144D" w:rsidRDefault="002053EB" w:rsidP="00B6144D">
            <w:pPr>
              <w:spacing w:line="240" w:lineRule="auto"/>
              <w:jc w:val="center"/>
              <w:rPr>
                <w:rFonts w:asciiTheme="majorHAnsi" w:eastAsia="Times New Roman" w:hAnsiTheme="majorHAnsi" w:cstheme="majorHAnsi"/>
                <w:b w:val="0"/>
                <w:color w:val="auto"/>
                <w:sz w:val="20"/>
                <w:szCs w:val="20"/>
                <w:lang w:val="es-CO" w:eastAsia="es-CO"/>
              </w:rPr>
            </w:pPr>
            <w:proofErr w:type="spellStart"/>
            <w:r w:rsidRPr="00B6144D">
              <w:rPr>
                <w:rFonts w:asciiTheme="majorHAnsi" w:eastAsia="Times New Roman" w:hAnsiTheme="majorHAnsi" w:cstheme="majorHAnsi"/>
                <w:b w:val="0"/>
                <w:color w:val="auto"/>
                <w:sz w:val="20"/>
                <w:szCs w:val="20"/>
                <w:lang w:val="es-CO" w:eastAsia="es-CO"/>
              </w:rPr>
              <w:t>Corpamag</w:t>
            </w:r>
            <w:proofErr w:type="spellEnd"/>
            <w:r w:rsidRPr="00B6144D">
              <w:rPr>
                <w:rFonts w:asciiTheme="majorHAnsi" w:eastAsia="Times New Roman" w:hAnsiTheme="majorHAnsi" w:cstheme="majorHAnsi"/>
                <w:b w:val="0"/>
                <w:color w:val="auto"/>
                <w:sz w:val="20"/>
                <w:szCs w:val="20"/>
                <w:lang w:val="es-CO" w:eastAsia="es-CO"/>
              </w:rPr>
              <w:t xml:space="preserve"> diversifica sus espacios de diálogos presenciales y virtuales en los que garantiza la efectiva participación de los grupos de valor por medio del diálogo colaborativo. La entidad está en capacidad de consultar y acatar lo consultado.</w:t>
            </w: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122030CF"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Decreto 330 de 2007 - Decreto 1076 de 2015</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77FD2AB2"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2.1.</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465BE307"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 xml:space="preserve">Audiencia pública de seguimiento al Plan de Acción Cuatrienal </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4E2160D4"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 evento (virtual, presencial o mixto)</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718C8452"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Equipo de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36BD3FCA"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29/04/2022</w:t>
            </w:r>
          </w:p>
        </w:tc>
      </w:tr>
      <w:tr w:rsidR="002053EB" w:rsidRPr="00B6144D" w14:paraId="2A3456CA" w14:textId="77777777" w:rsidTr="00B6144D">
        <w:trPr>
          <w:trHeight w:val="975"/>
        </w:trPr>
        <w:tc>
          <w:tcPr>
            <w:tcW w:w="519" w:type="pct"/>
            <w:vMerge/>
            <w:tcBorders>
              <w:top w:val="nil"/>
              <w:left w:val="single" w:sz="4" w:space="0" w:color="595959"/>
              <w:bottom w:val="single" w:sz="4" w:space="0" w:color="595959"/>
              <w:right w:val="single" w:sz="4" w:space="0" w:color="595959"/>
            </w:tcBorders>
            <w:vAlign w:val="center"/>
            <w:hideMark/>
          </w:tcPr>
          <w:p w14:paraId="144D8C8E" w14:textId="77777777" w:rsidR="002053EB" w:rsidRPr="00B6144D" w:rsidRDefault="002053EB" w:rsidP="002053EB">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7E15D051"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644"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25E59E20" w14:textId="7013E8FC"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 xml:space="preserve">CONPES 3654 de 2010 : </w:t>
            </w:r>
            <w:r w:rsidR="00B6144D" w:rsidRPr="00B6144D">
              <w:rPr>
                <w:rFonts w:asciiTheme="majorHAnsi" w:eastAsia="Times New Roman" w:hAnsiTheme="majorHAnsi" w:cstheme="majorHAnsi"/>
                <w:b w:val="0"/>
                <w:color w:val="auto"/>
                <w:sz w:val="20"/>
                <w:szCs w:val="20"/>
                <w:lang w:val="es-CO" w:eastAsia="es-CO"/>
              </w:rPr>
              <w:t>Política</w:t>
            </w:r>
            <w:r w:rsidRPr="00B6144D">
              <w:rPr>
                <w:rFonts w:asciiTheme="majorHAnsi" w:eastAsia="Times New Roman" w:hAnsiTheme="majorHAnsi" w:cstheme="majorHAnsi"/>
                <w:b w:val="0"/>
                <w:color w:val="auto"/>
                <w:sz w:val="20"/>
                <w:szCs w:val="20"/>
                <w:lang w:val="es-CO" w:eastAsia="es-CO"/>
              </w:rPr>
              <w:t xml:space="preserve"> de Rendición de Cuentas como un proceso permanente</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74EFFE46"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2.2</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35FABCAA"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Realizar Rendición de Cuentas en nodos con entidades del sector Ambiente, corresponsables en políticas y proyectos.</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6F249BB3"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 evento (virtual, presencial o mixto)</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6A7608FA"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Equipo de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4D434ED6"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31/07/2022</w:t>
            </w:r>
          </w:p>
        </w:tc>
      </w:tr>
      <w:tr w:rsidR="002053EB" w:rsidRPr="00B6144D" w14:paraId="22B4DCF9" w14:textId="77777777" w:rsidTr="00B6144D">
        <w:trPr>
          <w:trHeight w:val="975"/>
        </w:trPr>
        <w:tc>
          <w:tcPr>
            <w:tcW w:w="519" w:type="pct"/>
            <w:vMerge/>
            <w:tcBorders>
              <w:top w:val="nil"/>
              <w:left w:val="single" w:sz="4" w:space="0" w:color="595959"/>
              <w:bottom w:val="single" w:sz="4" w:space="0" w:color="595959"/>
              <w:right w:val="single" w:sz="4" w:space="0" w:color="595959"/>
            </w:tcBorders>
            <w:vAlign w:val="center"/>
            <w:hideMark/>
          </w:tcPr>
          <w:p w14:paraId="34F23E34" w14:textId="77777777" w:rsidR="002053EB" w:rsidRPr="00B6144D" w:rsidRDefault="002053EB" w:rsidP="002053EB">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4C491AEB"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2B9A94E5"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644EE1C4"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2.3</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41380E78"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Implementar diversos espacios de diálogo identificados para la vigencia 2022</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1E8FEB83"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Número de espacios identificados y ejecutados (Virtual, presencial o mixtos)</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124AB2DF"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Equipo de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56BCC3EA"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31/12/2022</w:t>
            </w:r>
          </w:p>
        </w:tc>
      </w:tr>
      <w:tr w:rsidR="002053EB" w:rsidRPr="00B6144D" w14:paraId="1EA261A0" w14:textId="77777777" w:rsidTr="00B6144D">
        <w:trPr>
          <w:trHeight w:val="855"/>
        </w:trPr>
        <w:tc>
          <w:tcPr>
            <w:tcW w:w="519"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0F8E04B1"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lastRenderedPageBreak/>
              <w:t>3. Responsabilidad</w:t>
            </w:r>
          </w:p>
        </w:tc>
        <w:tc>
          <w:tcPr>
            <w:tcW w:w="644"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5656B1AC"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proofErr w:type="spellStart"/>
            <w:r w:rsidRPr="00B6144D">
              <w:rPr>
                <w:rFonts w:asciiTheme="majorHAnsi" w:eastAsia="Times New Roman" w:hAnsiTheme="majorHAnsi" w:cstheme="majorHAnsi"/>
                <w:b w:val="0"/>
                <w:color w:val="auto"/>
                <w:sz w:val="20"/>
                <w:szCs w:val="20"/>
                <w:lang w:val="es-CO" w:eastAsia="es-CO"/>
              </w:rPr>
              <w:t>Corpamag</w:t>
            </w:r>
            <w:proofErr w:type="spellEnd"/>
            <w:r w:rsidRPr="00B6144D">
              <w:rPr>
                <w:rFonts w:asciiTheme="majorHAnsi" w:eastAsia="Times New Roman" w:hAnsiTheme="majorHAnsi" w:cstheme="majorHAnsi"/>
                <w:b w:val="0"/>
                <w:color w:val="auto"/>
                <w:sz w:val="20"/>
                <w:szCs w:val="20"/>
                <w:lang w:val="es-CO" w:eastAsia="es-CO"/>
              </w:rPr>
              <w:t xml:space="preserve"> incentiva a los funcionarios y grupos de interés  con el fin de generar una cultura de rendición de cuentas.</w:t>
            </w: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56EAF63D"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0EF56B70"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3.1</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78276307" w14:textId="138BD747" w:rsidR="002053EB" w:rsidRPr="00B6144D" w:rsidRDefault="00905318" w:rsidP="002053EB">
            <w:pPr>
              <w:spacing w:line="240" w:lineRule="auto"/>
              <w:rPr>
                <w:rFonts w:asciiTheme="majorHAnsi" w:eastAsia="Times New Roman" w:hAnsiTheme="majorHAnsi" w:cstheme="majorHAnsi"/>
                <w:b w:val="0"/>
                <w:color w:val="auto"/>
                <w:sz w:val="20"/>
                <w:szCs w:val="20"/>
                <w:lang w:val="es-CO" w:eastAsia="es-CO"/>
              </w:rPr>
            </w:pPr>
            <w:r w:rsidRPr="00905318">
              <w:rPr>
                <w:rFonts w:asciiTheme="majorHAnsi" w:eastAsia="Times New Roman" w:hAnsiTheme="majorHAnsi" w:cstheme="majorHAnsi"/>
                <w:b w:val="0"/>
                <w:color w:val="auto"/>
                <w:sz w:val="20"/>
                <w:szCs w:val="20"/>
                <w:lang w:val="es-CO" w:eastAsia="es-CO"/>
              </w:rPr>
              <w:t>Sensibilizar a los funcionarios sobre la importancia de realizar rendiciones de cuentas</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1A0EFE5A" w14:textId="49595C95" w:rsidR="002053EB" w:rsidRPr="00B6144D" w:rsidRDefault="00905318" w:rsidP="002053EB">
            <w:pPr>
              <w:spacing w:line="240" w:lineRule="auto"/>
              <w:jc w:val="center"/>
              <w:rPr>
                <w:rFonts w:asciiTheme="majorHAnsi" w:eastAsia="Times New Roman" w:hAnsiTheme="majorHAnsi" w:cstheme="majorHAnsi"/>
                <w:b w:val="0"/>
                <w:color w:val="auto"/>
                <w:sz w:val="20"/>
                <w:szCs w:val="20"/>
                <w:lang w:val="es-CO" w:eastAsia="es-CO"/>
              </w:rPr>
            </w:pPr>
            <w:r w:rsidRPr="00905318">
              <w:rPr>
                <w:rFonts w:asciiTheme="majorHAnsi" w:eastAsia="Times New Roman" w:hAnsiTheme="majorHAnsi" w:cstheme="majorHAnsi"/>
                <w:b w:val="0"/>
                <w:color w:val="auto"/>
                <w:sz w:val="20"/>
                <w:szCs w:val="20"/>
                <w:lang w:val="es-CO" w:eastAsia="es-CO"/>
              </w:rPr>
              <w:t>Piezas comunicativas socializadas</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4C409172"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Equipo de Trabajo de la Rendición de Cuentas/ Grupo de Talento Humano</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64189894"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31/12/2022</w:t>
            </w:r>
          </w:p>
        </w:tc>
      </w:tr>
      <w:tr w:rsidR="002053EB" w:rsidRPr="00B6144D" w14:paraId="03D10B33" w14:textId="77777777" w:rsidTr="00B6144D">
        <w:trPr>
          <w:trHeight w:val="1290"/>
        </w:trPr>
        <w:tc>
          <w:tcPr>
            <w:tcW w:w="519" w:type="pct"/>
            <w:vMerge/>
            <w:tcBorders>
              <w:top w:val="single" w:sz="4" w:space="0" w:color="595959"/>
              <w:left w:val="single" w:sz="4" w:space="0" w:color="595959"/>
              <w:bottom w:val="single" w:sz="4" w:space="0" w:color="595959"/>
              <w:right w:val="single" w:sz="4" w:space="0" w:color="595959"/>
            </w:tcBorders>
            <w:vAlign w:val="center"/>
            <w:hideMark/>
          </w:tcPr>
          <w:p w14:paraId="5687F444" w14:textId="77777777" w:rsidR="002053EB" w:rsidRPr="00B6144D" w:rsidRDefault="002053EB" w:rsidP="002053EB">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38B2B6EF"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3B20CDAF"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CONPES 3654 de 2010</w:t>
            </w:r>
            <w:r w:rsidRPr="00B6144D">
              <w:rPr>
                <w:rFonts w:asciiTheme="majorHAnsi" w:eastAsia="Times New Roman" w:hAnsiTheme="majorHAnsi" w:cstheme="majorHAnsi"/>
                <w:b w:val="0"/>
                <w:color w:val="auto"/>
                <w:sz w:val="20"/>
                <w:szCs w:val="20"/>
                <w:lang w:val="es-CO" w:eastAsia="es-CO"/>
              </w:rPr>
              <w:br/>
              <w:t>Ley 1757 de 2015: Estatuto de Participación Democrática</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747F8AC3"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3.2</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5BFB5306"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Capacitar a los grupos de valor sobre la importancia de participar en las rendiciones de cuentas y/o para formular  y ejecutar mecanismos de convocatoria, periodos y metodologías para realizar los espacios de diálogo sobre temas específicos.</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53ACF481" w14:textId="61EDC596" w:rsidR="002053EB" w:rsidRPr="00B6144D" w:rsidRDefault="002053EB" w:rsidP="00905318">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Capacitaciones ejecutadas</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2D2CE536"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Equipo de Trabajo de la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2E62151F"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31/12/2022</w:t>
            </w:r>
          </w:p>
        </w:tc>
      </w:tr>
      <w:tr w:rsidR="002053EB" w:rsidRPr="00B6144D" w14:paraId="358AF35C" w14:textId="77777777" w:rsidTr="00B6144D">
        <w:trPr>
          <w:trHeight w:val="855"/>
        </w:trPr>
        <w:tc>
          <w:tcPr>
            <w:tcW w:w="519" w:type="pct"/>
            <w:vMerge/>
            <w:tcBorders>
              <w:top w:val="single" w:sz="4" w:space="0" w:color="595959"/>
              <w:left w:val="single" w:sz="4" w:space="0" w:color="595959"/>
              <w:bottom w:val="single" w:sz="4" w:space="0" w:color="595959"/>
              <w:right w:val="single" w:sz="4" w:space="0" w:color="595959"/>
            </w:tcBorders>
            <w:vAlign w:val="center"/>
            <w:hideMark/>
          </w:tcPr>
          <w:p w14:paraId="05A75B34" w14:textId="77777777" w:rsidR="002053EB" w:rsidRPr="00B6144D" w:rsidRDefault="002053EB" w:rsidP="002053EB">
            <w:pPr>
              <w:spacing w:line="240" w:lineRule="auto"/>
              <w:rPr>
                <w:rFonts w:asciiTheme="majorHAnsi" w:eastAsia="Times New Roman" w:hAnsiTheme="majorHAnsi" w:cstheme="majorHAnsi"/>
                <w:bCs/>
                <w:color w:val="auto"/>
                <w:sz w:val="20"/>
                <w:szCs w:val="20"/>
                <w:lang w:val="es-CO" w:eastAsia="es-CO"/>
              </w:rPr>
            </w:pPr>
          </w:p>
        </w:tc>
        <w:tc>
          <w:tcPr>
            <w:tcW w:w="644"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00628BCC"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proofErr w:type="spellStart"/>
            <w:r w:rsidRPr="00B6144D">
              <w:rPr>
                <w:rFonts w:asciiTheme="majorHAnsi" w:eastAsia="Times New Roman" w:hAnsiTheme="majorHAnsi" w:cstheme="majorHAnsi"/>
                <w:b w:val="0"/>
                <w:color w:val="auto"/>
                <w:sz w:val="20"/>
                <w:szCs w:val="20"/>
                <w:lang w:val="es-CO" w:eastAsia="es-CO"/>
              </w:rPr>
              <w:t>Corpamag</w:t>
            </w:r>
            <w:proofErr w:type="spellEnd"/>
            <w:r w:rsidRPr="00B6144D">
              <w:rPr>
                <w:rFonts w:asciiTheme="majorHAnsi" w:eastAsia="Times New Roman" w:hAnsiTheme="majorHAnsi" w:cstheme="majorHAnsi"/>
                <w:b w:val="0"/>
                <w:color w:val="auto"/>
                <w:sz w:val="20"/>
                <w:szCs w:val="20"/>
                <w:lang w:val="es-CO" w:eastAsia="es-CO"/>
              </w:rPr>
              <w:t xml:space="preserve"> realiza evaluación y retroalimentación de la gestión institucional en la garantía de participación de sus grupos de interés. </w:t>
            </w:r>
          </w:p>
        </w:tc>
        <w:tc>
          <w:tcPr>
            <w:tcW w:w="644"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5F99C389"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noWrap/>
            <w:vAlign w:val="center"/>
            <w:hideMark/>
          </w:tcPr>
          <w:p w14:paraId="28EF41FA" w14:textId="77777777" w:rsidR="002053EB" w:rsidRPr="00B6144D" w:rsidRDefault="002053EB" w:rsidP="002053EB">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3.3</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7DC2E890" w14:textId="77777777" w:rsidR="002053EB" w:rsidRPr="00B6144D" w:rsidRDefault="002053EB" w:rsidP="002053EB">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Socializar al interior de la entidad, los resultados del diagnóstico del proceso de rendición de cuentas institucional</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3960C6DC"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Informe de la implementación de la estrategia de rendición de cuentas</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50B9CB26"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Oficina de Planeación</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02B359DC"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31/12/2022</w:t>
            </w:r>
          </w:p>
        </w:tc>
      </w:tr>
      <w:tr w:rsidR="002053EB" w:rsidRPr="00B6144D" w14:paraId="63104F15" w14:textId="77777777" w:rsidTr="00B6144D">
        <w:trPr>
          <w:trHeight w:val="1425"/>
        </w:trPr>
        <w:tc>
          <w:tcPr>
            <w:tcW w:w="519" w:type="pct"/>
            <w:vMerge/>
            <w:tcBorders>
              <w:top w:val="single" w:sz="4" w:space="0" w:color="595959"/>
              <w:left w:val="single" w:sz="4" w:space="0" w:color="595959"/>
              <w:bottom w:val="single" w:sz="4" w:space="0" w:color="595959"/>
              <w:right w:val="single" w:sz="4" w:space="0" w:color="595959"/>
            </w:tcBorders>
            <w:vAlign w:val="center"/>
            <w:hideMark/>
          </w:tcPr>
          <w:p w14:paraId="2EA6F13C" w14:textId="77777777" w:rsidR="002053EB" w:rsidRPr="00B6144D" w:rsidRDefault="002053EB" w:rsidP="002053EB">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558148FD"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5BD9E29B"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96" w:type="pct"/>
            <w:tcBorders>
              <w:top w:val="single" w:sz="4" w:space="0" w:color="595959"/>
              <w:left w:val="nil"/>
              <w:bottom w:val="single" w:sz="4" w:space="0" w:color="595959"/>
              <w:right w:val="single" w:sz="4" w:space="0" w:color="595959"/>
            </w:tcBorders>
            <w:shd w:val="clear" w:color="auto" w:fill="auto"/>
            <w:noWrap/>
            <w:vAlign w:val="center"/>
            <w:hideMark/>
          </w:tcPr>
          <w:p w14:paraId="50D74633" w14:textId="77777777" w:rsidR="002053EB" w:rsidRPr="00B6144D" w:rsidRDefault="002053EB" w:rsidP="002053EB">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3.4</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6DACEFF6" w14:textId="77777777" w:rsidR="002053EB" w:rsidRPr="00B6144D" w:rsidRDefault="002053EB" w:rsidP="002053EB">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Aplicar encuesta de evaluación y retroalimentación sobre los eventos de rendición de cuentas </w:t>
            </w:r>
          </w:p>
        </w:tc>
        <w:tc>
          <w:tcPr>
            <w:tcW w:w="800" w:type="pct"/>
            <w:tcBorders>
              <w:top w:val="single" w:sz="4" w:space="0" w:color="595959"/>
              <w:left w:val="nil"/>
              <w:bottom w:val="single" w:sz="4" w:space="0" w:color="595959"/>
              <w:right w:val="single" w:sz="4" w:space="0" w:color="595959"/>
            </w:tcBorders>
            <w:shd w:val="clear" w:color="auto" w:fill="auto"/>
            <w:noWrap/>
            <w:vAlign w:val="center"/>
            <w:hideMark/>
          </w:tcPr>
          <w:p w14:paraId="1E7E9D9D"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Encuestas de Evaluación</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7A716394"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Responsable de los Espacios de Diálogo </w:t>
            </w:r>
            <w:r w:rsidRPr="00B6144D">
              <w:rPr>
                <w:rFonts w:asciiTheme="majorHAnsi" w:eastAsia="Times New Roman" w:hAnsiTheme="majorHAnsi" w:cstheme="majorHAnsi"/>
                <w:b w:val="0"/>
                <w:color w:val="000000"/>
                <w:sz w:val="20"/>
                <w:szCs w:val="20"/>
                <w:lang w:val="es-CO" w:eastAsia="es-CO"/>
              </w:rPr>
              <w:br/>
            </w:r>
            <w:r w:rsidRPr="00B6144D">
              <w:rPr>
                <w:rFonts w:asciiTheme="majorHAnsi" w:eastAsia="Times New Roman" w:hAnsiTheme="majorHAnsi" w:cstheme="majorHAnsi"/>
                <w:b w:val="0"/>
                <w:color w:val="000000"/>
                <w:sz w:val="18"/>
                <w:szCs w:val="20"/>
                <w:lang w:val="es-CO" w:eastAsia="es-CO"/>
              </w:rPr>
              <w:t>(según Calendario de eventos de Rendición de cuentas de la vigencia)</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6B0612E8"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31/12/2022</w:t>
            </w:r>
          </w:p>
        </w:tc>
      </w:tr>
    </w:tbl>
    <w:p w14:paraId="06941E46" w14:textId="77777777" w:rsidR="002053EB" w:rsidRPr="00530548" w:rsidRDefault="002053EB"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16FE589E" w14:textId="77777777" w:rsidR="00567FFA" w:rsidRPr="004626C8" w:rsidRDefault="00567FFA">
      <w:pPr>
        <w:spacing w:after="200"/>
        <w:rPr>
          <w:rFonts w:asciiTheme="majorHAnsi" w:hAnsiTheme="majorHAnsi" w:cstheme="majorHAnsi"/>
          <w:sz w:val="20"/>
          <w:szCs w:val="20"/>
        </w:rPr>
      </w:pPr>
      <w:r w:rsidRPr="004626C8">
        <w:rPr>
          <w:rFonts w:asciiTheme="majorHAnsi" w:hAnsiTheme="majorHAnsi" w:cstheme="majorHAnsi"/>
          <w:sz w:val="20"/>
          <w:szCs w:val="20"/>
        </w:rPr>
        <w:br w:type="page"/>
      </w:r>
    </w:p>
    <w:p w14:paraId="369A5162" w14:textId="77777777" w:rsidR="00043A3F" w:rsidRPr="007C545F" w:rsidRDefault="00043A3F" w:rsidP="002A46B1">
      <w:pPr>
        <w:spacing w:after="200"/>
        <w:rPr>
          <w:rFonts w:asciiTheme="majorHAnsi" w:hAnsiTheme="majorHAnsi" w:cstheme="majorHAnsi"/>
          <w:sz w:val="32"/>
          <w:szCs w:val="32"/>
        </w:rPr>
      </w:pPr>
      <w:r w:rsidRPr="008D250C">
        <w:rPr>
          <w:sz w:val="36"/>
          <w:szCs w:val="32"/>
        </w:rPr>
        <w:lastRenderedPageBreak/>
        <w:t xml:space="preserve">3.4. </w:t>
      </w:r>
      <w:r w:rsidRPr="007C545F">
        <w:rPr>
          <w:rFonts w:asciiTheme="majorHAnsi" w:hAnsiTheme="majorHAnsi" w:cstheme="majorHAnsi"/>
          <w:sz w:val="32"/>
          <w:szCs w:val="32"/>
        </w:rPr>
        <w:t xml:space="preserve">Mecanismos para mejorar la Atención al Ciudadano </w:t>
      </w:r>
    </w:p>
    <w:p w14:paraId="5930E7FA" w14:textId="77777777" w:rsidR="00043A3F" w:rsidRPr="007C545F" w:rsidRDefault="00043A3F" w:rsidP="00043A3F">
      <w:pPr>
        <w:autoSpaceDE w:val="0"/>
        <w:autoSpaceDN w:val="0"/>
        <w:adjustRightInd w:val="0"/>
        <w:spacing w:line="240" w:lineRule="auto"/>
        <w:jc w:val="both"/>
        <w:rPr>
          <w:rFonts w:asciiTheme="majorHAnsi" w:hAnsiTheme="majorHAnsi" w:cstheme="majorHAnsi"/>
          <w:sz w:val="18"/>
          <w:szCs w:val="19"/>
        </w:rPr>
      </w:pPr>
    </w:p>
    <w:p w14:paraId="444057AF" w14:textId="46DE059B" w:rsidR="00043A3F" w:rsidRDefault="00043A3F" w:rsidP="000C2FAE">
      <w:pPr>
        <w:autoSpaceDE w:val="0"/>
        <w:autoSpaceDN w:val="0"/>
        <w:adjustRightInd w:val="0"/>
        <w:spacing w:line="240" w:lineRule="auto"/>
        <w:ind w:right="1223"/>
        <w:jc w:val="both"/>
        <w:rPr>
          <w:rFonts w:asciiTheme="majorHAnsi" w:hAnsiTheme="majorHAnsi" w:cstheme="majorHAnsi"/>
          <w:color w:val="auto"/>
          <w:sz w:val="18"/>
          <w:szCs w:val="19"/>
        </w:rPr>
      </w:pPr>
      <w:r w:rsidRPr="00530548">
        <w:rPr>
          <w:rFonts w:asciiTheme="majorHAnsi" w:hAnsiTheme="majorHAnsi" w:cstheme="majorHAnsi"/>
          <w:b w:val="0"/>
          <w:color w:val="auto"/>
          <w:sz w:val="24"/>
          <w:szCs w:val="28"/>
        </w:rPr>
        <w:t>Centra sus esfuerzos en garantizar el acceso de los ciudadanos a los trámites y servicios de la Administración Pública conforme a los principios de información completa, clara, consistente, con altos niveles de calidad, oportunidad en el servicio y ajuste a las necesidades, realidades y expectativas del ciudadano.</w:t>
      </w:r>
      <w:r w:rsidR="008C777D" w:rsidRPr="00530548">
        <w:rPr>
          <w:rFonts w:asciiTheme="majorHAnsi" w:hAnsiTheme="majorHAnsi" w:cstheme="majorHAnsi"/>
          <w:color w:val="auto"/>
          <w:sz w:val="18"/>
          <w:szCs w:val="19"/>
        </w:rPr>
        <w:t xml:space="preserve"> </w:t>
      </w:r>
    </w:p>
    <w:p w14:paraId="4E89E11A" w14:textId="1A8D7B76" w:rsidR="00B6144D" w:rsidRDefault="00B6144D"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40C62F9D" w14:textId="0E1D7A65" w:rsidR="00B6144D" w:rsidRDefault="00B6144D" w:rsidP="000C2FAE">
      <w:pPr>
        <w:autoSpaceDE w:val="0"/>
        <w:autoSpaceDN w:val="0"/>
        <w:adjustRightInd w:val="0"/>
        <w:spacing w:line="240" w:lineRule="auto"/>
        <w:ind w:right="1223"/>
        <w:jc w:val="both"/>
        <w:rPr>
          <w:rFonts w:asciiTheme="majorHAnsi" w:hAnsiTheme="majorHAnsi" w:cstheme="majorHAnsi"/>
          <w:color w:val="auto"/>
          <w:sz w:val="18"/>
          <w:szCs w:val="19"/>
        </w:rPr>
      </w:pPr>
    </w:p>
    <w:tbl>
      <w:tblPr>
        <w:tblW w:w="5000" w:type="pct"/>
        <w:tblCellMar>
          <w:left w:w="70" w:type="dxa"/>
          <w:right w:w="70" w:type="dxa"/>
        </w:tblCellMar>
        <w:tblLook w:val="04A0" w:firstRow="1" w:lastRow="0" w:firstColumn="1" w:lastColumn="0" w:noHBand="0" w:noVBand="1"/>
      </w:tblPr>
      <w:tblGrid>
        <w:gridCol w:w="1847"/>
        <w:gridCol w:w="419"/>
        <w:gridCol w:w="6107"/>
        <w:gridCol w:w="3601"/>
        <w:gridCol w:w="2002"/>
        <w:gridCol w:w="1402"/>
      </w:tblGrid>
      <w:tr w:rsidR="00B6144D" w:rsidRPr="00B6144D" w14:paraId="4EC1C74C" w14:textId="77777777" w:rsidTr="00B6144D">
        <w:trPr>
          <w:trHeight w:val="300"/>
        </w:trPr>
        <w:tc>
          <w:tcPr>
            <w:tcW w:w="5000" w:type="pct"/>
            <w:gridSpan w:val="6"/>
            <w:tcBorders>
              <w:top w:val="single" w:sz="8" w:space="0" w:color="A6A6A6"/>
              <w:left w:val="single" w:sz="8" w:space="0" w:color="A6A6A6"/>
              <w:bottom w:val="single" w:sz="8" w:space="0" w:color="A6A6A6"/>
              <w:right w:val="single" w:sz="8" w:space="0" w:color="A6A6A6"/>
            </w:tcBorders>
            <w:shd w:val="clear" w:color="E7E6E6" w:fill="F2F2F2"/>
            <w:vAlign w:val="center"/>
            <w:hideMark/>
          </w:tcPr>
          <w:p w14:paraId="0B015FB8"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Componente 4:  Atención  al Ciudadano</w:t>
            </w:r>
          </w:p>
        </w:tc>
      </w:tr>
      <w:tr w:rsidR="00B6144D" w:rsidRPr="00B6144D" w14:paraId="4B54AD7D" w14:textId="77777777" w:rsidTr="00B6144D">
        <w:trPr>
          <w:trHeight w:val="615"/>
        </w:trPr>
        <w:tc>
          <w:tcPr>
            <w:tcW w:w="605" w:type="pct"/>
            <w:tcBorders>
              <w:top w:val="nil"/>
              <w:left w:val="single" w:sz="8" w:space="0" w:color="A6A6A6"/>
              <w:bottom w:val="single" w:sz="8" w:space="0" w:color="A6A6A6"/>
              <w:right w:val="single" w:sz="8" w:space="0" w:color="A6A6A6"/>
            </w:tcBorders>
            <w:shd w:val="clear" w:color="E7E6E6" w:fill="F2F2F2"/>
            <w:vAlign w:val="center"/>
            <w:hideMark/>
          </w:tcPr>
          <w:p w14:paraId="7B0783F3"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Subcomponente</w:t>
            </w:r>
          </w:p>
        </w:tc>
        <w:tc>
          <w:tcPr>
            <w:tcW w:w="2105" w:type="pct"/>
            <w:gridSpan w:val="2"/>
            <w:tcBorders>
              <w:top w:val="single" w:sz="8" w:space="0" w:color="A6A6A6"/>
              <w:left w:val="nil"/>
              <w:bottom w:val="single" w:sz="8" w:space="0" w:color="A6A6A6"/>
              <w:right w:val="single" w:sz="8" w:space="0" w:color="A6A6A6"/>
            </w:tcBorders>
            <w:shd w:val="clear" w:color="E7E6E6" w:fill="F2F2F2"/>
            <w:vAlign w:val="center"/>
            <w:hideMark/>
          </w:tcPr>
          <w:p w14:paraId="6A5DFD35"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Actividades</w:t>
            </w:r>
          </w:p>
        </w:tc>
        <w:tc>
          <w:tcPr>
            <w:tcW w:w="1175" w:type="pct"/>
            <w:tcBorders>
              <w:top w:val="nil"/>
              <w:left w:val="nil"/>
              <w:bottom w:val="single" w:sz="8" w:space="0" w:color="A6A6A6"/>
              <w:right w:val="single" w:sz="8" w:space="0" w:color="A6A6A6"/>
            </w:tcBorders>
            <w:shd w:val="clear" w:color="E7E6E6" w:fill="F2F2F2"/>
            <w:vAlign w:val="center"/>
            <w:hideMark/>
          </w:tcPr>
          <w:p w14:paraId="32C7C4E1"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Meta o producto</w:t>
            </w:r>
          </w:p>
        </w:tc>
        <w:tc>
          <w:tcPr>
            <w:tcW w:w="655" w:type="pct"/>
            <w:tcBorders>
              <w:top w:val="nil"/>
              <w:left w:val="nil"/>
              <w:bottom w:val="single" w:sz="8" w:space="0" w:color="A6A6A6"/>
              <w:right w:val="single" w:sz="8" w:space="0" w:color="A6A6A6"/>
            </w:tcBorders>
            <w:shd w:val="clear" w:color="E7E6E6" w:fill="F2F2F2"/>
            <w:vAlign w:val="center"/>
            <w:hideMark/>
          </w:tcPr>
          <w:p w14:paraId="34D8B16C"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 xml:space="preserve">Responsable </w:t>
            </w:r>
          </w:p>
        </w:tc>
        <w:tc>
          <w:tcPr>
            <w:tcW w:w="460" w:type="pct"/>
            <w:tcBorders>
              <w:top w:val="nil"/>
              <w:left w:val="nil"/>
              <w:bottom w:val="single" w:sz="8" w:space="0" w:color="A6A6A6"/>
              <w:right w:val="single" w:sz="8" w:space="0" w:color="A6A6A6"/>
            </w:tcBorders>
            <w:shd w:val="clear" w:color="E7E6E6" w:fill="F2F2F2"/>
            <w:vAlign w:val="center"/>
            <w:hideMark/>
          </w:tcPr>
          <w:p w14:paraId="781B5339"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Fecha programada</w:t>
            </w:r>
          </w:p>
        </w:tc>
      </w:tr>
      <w:tr w:rsidR="00B6144D" w:rsidRPr="00B6144D" w14:paraId="23ACD20F" w14:textId="77777777" w:rsidTr="00B6144D">
        <w:trPr>
          <w:trHeight w:val="1528"/>
        </w:trPr>
        <w:tc>
          <w:tcPr>
            <w:tcW w:w="605" w:type="pct"/>
            <w:tcBorders>
              <w:top w:val="nil"/>
              <w:left w:val="single" w:sz="8" w:space="0" w:color="A6A6A6"/>
              <w:bottom w:val="single" w:sz="8" w:space="0" w:color="A6A6A6"/>
              <w:right w:val="single" w:sz="8" w:space="0" w:color="A6A6A6"/>
            </w:tcBorders>
            <w:shd w:val="clear" w:color="E7E6E6" w:fill="D9E1F2"/>
            <w:vAlign w:val="center"/>
            <w:hideMark/>
          </w:tcPr>
          <w:p w14:paraId="0A9070F3"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Cs/>
                <w:color w:val="auto"/>
                <w:sz w:val="20"/>
                <w:szCs w:val="20"/>
                <w:lang w:val="es-CO" w:eastAsia="es-CO"/>
              </w:rPr>
              <w:t>Subcomponente 1</w:t>
            </w:r>
            <w:r w:rsidRPr="00B6144D">
              <w:rPr>
                <w:rFonts w:asciiTheme="majorHAnsi" w:eastAsia="Times New Roman" w:hAnsiTheme="majorHAnsi" w:cstheme="majorHAnsi"/>
                <w:b w:val="0"/>
                <w:color w:val="auto"/>
                <w:sz w:val="20"/>
                <w:szCs w:val="20"/>
                <w:lang w:val="es-CO" w:eastAsia="es-CO"/>
              </w:rPr>
              <w:t xml:space="preserve">                           Estructura administrativa y Direccionamiento estratégico </w:t>
            </w:r>
          </w:p>
        </w:tc>
        <w:tc>
          <w:tcPr>
            <w:tcW w:w="115" w:type="pct"/>
            <w:tcBorders>
              <w:top w:val="nil"/>
              <w:left w:val="nil"/>
              <w:bottom w:val="single" w:sz="8" w:space="0" w:color="A6A6A6"/>
              <w:right w:val="single" w:sz="8" w:space="0" w:color="A6A6A6"/>
            </w:tcBorders>
            <w:shd w:val="clear" w:color="auto" w:fill="auto"/>
            <w:vAlign w:val="center"/>
            <w:hideMark/>
          </w:tcPr>
          <w:p w14:paraId="6249DA44"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1.1</w:t>
            </w:r>
          </w:p>
        </w:tc>
        <w:tc>
          <w:tcPr>
            <w:tcW w:w="1990" w:type="pct"/>
            <w:tcBorders>
              <w:top w:val="nil"/>
              <w:left w:val="nil"/>
              <w:bottom w:val="single" w:sz="8" w:space="0" w:color="A6A6A6"/>
              <w:right w:val="single" w:sz="8" w:space="0" w:color="A6A6A6"/>
            </w:tcBorders>
            <w:shd w:val="clear" w:color="auto" w:fill="auto"/>
            <w:vAlign w:val="center"/>
            <w:hideMark/>
          </w:tcPr>
          <w:p w14:paraId="46474130"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Contratar prestación de servicio de apoyo con funciones de servicio de atención al ciudadano al interior de la Corporación</w:t>
            </w:r>
          </w:p>
        </w:tc>
        <w:tc>
          <w:tcPr>
            <w:tcW w:w="1175" w:type="pct"/>
            <w:tcBorders>
              <w:top w:val="nil"/>
              <w:left w:val="nil"/>
              <w:bottom w:val="single" w:sz="8" w:space="0" w:color="A6A6A6"/>
              <w:right w:val="single" w:sz="8" w:space="0" w:color="A6A6A6"/>
            </w:tcBorders>
            <w:shd w:val="clear" w:color="auto" w:fill="auto"/>
            <w:vAlign w:val="center"/>
            <w:hideMark/>
          </w:tcPr>
          <w:p w14:paraId="369CAA27"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Informe de actividades - SECOP II</w:t>
            </w:r>
          </w:p>
        </w:tc>
        <w:tc>
          <w:tcPr>
            <w:tcW w:w="655" w:type="pct"/>
            <w:tcBorders>
              <w:top w:val="nil"/>
              <w:left w:val="nil"/>
              <w:bottom w:val="single" w:sz="8" w:space="0" w:color="A6A6A6"/>
              <w:right w:val="single" w:sz="8" w:space="0" w:color="A6A6A6"/>
            </w:tcBorders>
            <w:shd w:val="clear" w:color="auto" w:fill="auto"/>
            <w:vAlign w:val="center"/>
            <w:hideMark/>
          </w:tcPr>
          <w:p w14:paraId="33385A3C"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Secretaría general</w:t>
            </w:r>
          </w:p>
        </w:tc>
        <w:tc>
          <w:tcPr>
            <w:tcW w:w="460" w:type="pct"/>
            <w:tcBorders>
              <w:top w:val="nil"/>
              <w:left w:val="nil"/>
              <w:bottom w:val="single" w:sz="8" w:space="0" w:color="A6A6A6"/>
              <w:right w:val="single" w:sz="8" w:space="0" w:color="A6A6A6"/>
            </w:tcBorders>
            <w:shd w:val="clear" w:color="auto" w:fill="auto"/>
            <w:noWrap/>
            <w:vAlign w:val="center"/>
            <w:hideMark/>
          </w:tcPr>
          <w:p w14:paraId="13EA6EE4"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r>
      <w:tr w:rsidR="00B6144D" w:rsidRPr="00B6144D" w14:paraId="7C640697" w14:textId="77777777" w:rsidTr="00B6144D">
        <w:trPr>
          <w:trHeight w:val="765"/>
        </w:trPr>
        <w:tc>
          <w:tcPr>
            <w:tcW w:w="605" w:type="pct"/>
            <w:vMerge w:val="restart"/>
            <w:tcBorders>
              <w:top w:val="nil"/>
              <w:left w:val="single" w:sz="8" w:space="0" w:color="A6A6A6"/>
              <w:bottom w:val="single" w:sz="8" w:space="0" w:color="A6A6A6"/>
              <w:right w:val="single" w:sz="8" w:space="0" w:color="A6A6A6"/>
            </w:tcBorders>
            <w:shd w:val="clear" w:color="E7E6E6" w:fill="D9E1F2"/>
            <w:vAlign w:val="center"/>
            <w:hideMark/>
          </w:tcPr>
          <w:p w14:paraId="380349E3"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Cs/>
                <w:color w:val="auto"/>
                <w:sz w:val="20"/>
                <w:szCs w:val="20"/>
                <w:lang w:val="es-CO" w:eastAsia="es-CO"/>
              </w:rPr>
              <w:t xml:space="preserve">Subcomponente 2                            </w:t>
            </w:r>
            <w:r w:rsidRPr="00B6144D">
              <w:rPr>
                <w:rFonts w:asciiTheme="majorHAnsi" w:eastAsia="Times New Roman" w:hAnsiTheme="majorHAnsi" w:cstheme="majorHAnsi"/>
                <w:b w:val="0"/>
                <w:color w:val="auto"/>
                <w:sz w:val="20"/>
                <w:szCs w:val="20"/>
                <w:lang w:val="es-CO" w:eastAsia="es-CO"/>
              </w:rPr>
              <w:t xml:space="preserve"> Fortalecimiento de los canales de atención</w:t>
            </w:r>
          </w:p>
        </w:tc>
        <w:tc>
          <w:tcPr>
            <w:tcW w:w="115" w:type="pct"/>
            <w:tcBorders>
              <w:top w:val="nil"/>
              <w:left w:val="nil"/>
              <w:bottom w:val="single" w:sz="8" w:space="0" w:color="A6A6A6"/>
              <w:right w:val="single" w:sz="8" w:space="0" w:color="A6A6A6"/>
            </w:tcBorders>
            <w:shd w:val="clear" w:color="auto" w:fill="auto"/>
            <w:vAlign w:val="center"/>
            <w:hideMark/>
          </w:tcPr>
          <w:p w14:paraId="71366B65"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2.1</w:t>
            </w:r>
          </w:p>
        </w:tc>
        <w:tc>
          <w:tcPr>
            <w:tcW w:w="1990" w:type="pct"/>
            <w:tcBorders>
              <w:top w:val="nil"/>
              <w:left w:val="nil"/>
              <w:bottom w:val="single" w:sz="8" w:space="0" w:color="A6A6A6"/>
              <w:right w:val="single" w:sz="8" w:space="0" w:color="A6A6A6"/>
            </w:tcBorders>
            <w:shd w:val="clear" w:color="auto" w:fill="auto"/>
            <w:vAlign w:val="center"/>
            <w:hideMark/>
          </w:tcPr>
          <w:p w14:paraId="4FC2EB0A"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Llevar a cabo campañas de difusión y apropiación del Protocolo de atención al ciudadano al interior de la entidad.</w:t>
            </w:r>
          </w:p>
        </w:tc>
        <w:tc>
          <w:tcPr>
            <w:tcW w:w="1175" w:type="pct"/>
            <w:tcBorders>
              <w:top w:val="nil"/>
              <w:left w:val="nil"/>
              <w:bottom w:val="single" w:sz="8" w:space="0" w:color="A6A6A6"/>
              <w:right w:val="single" w:sz="8" w:space="0" w:color="A6A6A6"/>
            </w:tcBorders>
            <w:shd w:val="clear" w:color="auto" w:fill="auto"/>
            <w:vAlign w:val="center"/>
            <w:hideMark/>
          </w:tcPr>
          <w:p w14:paraId="03BFC776"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1 Campaña de difusión del Protocolo de atención al ciudadano</w:t>
            </w:r>
          </w:p>
        </w:tc>
        <w:tc>
          <w:tcPr>
            <w:tcW w:w="655" w:type="pct"/>
            <w:tcBorders>
              <w:top w:val="nil"/>
              <w:left w:val="nil"/>
              <w:bottom w:val="single" w:sz="8" w:space="0" w:color="A6A6A6"/>
              <w:right w:val="single" w:sz="8" w:space="0" w:color="A6A6A6"/>
            </w:tcBorders>
            <w:shd w:val="clear" w:color="auto" w:fill="auto"/>
            <w:vAlign w:val="center"/>
            <w:hideMark/>
          </w:tcPr>
          <w:p w14:paraId="6F53B1C3"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Oficina de planeación - </w:t>
            </w:r>
            <w:r w:rsidRPr="00B6144D">
              <w:rPr>
                <w:rFonts w:asciiTheme="majorHAnsi" w:eastAsia="Times New Roman" w:hAnsiTheme="majorHAnsi" w:cstheme="majorHAnsi"/>
                <w:b w:val="0"/>
                <w:color w:val="auto"/>
                <w:sz w:val="20"/>
                <w:szCs w:val="20"/>
                <w:lang w:val="es-CO" w:eastAsia="es-CO"/>
              </w:rPr>
              <w:t>Comunicaciones</w:t>
            </w:r>
          </w:p>
        </w:tc>
        <w:tc>
          <w:tcPr>
            <w:tcW w:w="460" w:type="pct"/>
            <w:tcBorders>
              <w:top w:val="nil"/>
              <w:left w:val="nil"/>
              <w:bottom w:val="single" w:sz="8" w:space="0" w:color="A6A6A6"/>
              <w:right w:val="single" w:sz="8" w:space="0" w:color="A6A6A6"/>
            </w:tcBorders>
            <w:shd w:val="clear" w:color="FFFFFF" w:fill="FFFFFF"/>
            <w:vAlign w:val="center"/>
            <w:hideMark/>
          </w:tcPr>
          <w:p w14:paraId="78D77302"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31/07/2022</w:t>
            </w:r>
            <w:r w:rsidRPr="00B6144D">
              <w:rPr>
                <w:rFonts w:asciiTheme="majorHAnsi" w:eastAsia="Times New Roman" w:hAnsiTheme="majorHAnsi" w:cstheme="majorHAnsi"/>
                <w:b w:val="0"/>
                <w:color w:val="000000"/>
                <w:sz w:val="20"/>
                <w:szCs w:val="20"/>
                <w:lang w:val="es-CO" w:eastAsia="es-CO"/>
              </w:rPr>
              <w:br/>
              <w:t>30/12/2022</w:t>
            </w:r>
          </w:p>
        </w:tc>
      </w:tr>
      <w:tr w:rsidR="00B6144D" w:rsidRPr="00B6144D" w14:paraId="17E108AE" w14:textId="77777777" w:rsidTr="00B6144D">
        <w:trPr>
          <w:trHeight w:val="795"/>
        </w:trPr>
        <w:tc>
          <w:tcPr>
            <w:tcW w:w="605" w:type="pct"/>
            <w:vMerge/>
            <w:tcBorders>
              <w:top w:val="nil"/>
              <w:left w:val="single" w:sz="8" w:space="0" w:color="A6A6A6"/>
              <w:bottom w:val="single" w:sz="8" w:space="0" w:color="A6A6A6"/>
              <w:right w:val="single" w:sz="8" w:space="0" w:color="A6A6A6"/>
            </w:tcBorders>
            <w:vAlign w:val="center"/>
            <w:hideMark/>
          </w:tcPr>
          <w:p w14:paraId="245DBA3B"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15" w:type="pct"/>
            <w:tcBorders>
              <w:top w:val="nil"/>
              <w:left w:val="nil"/>
              <w:bottom w:val="single" w:sz="8" w:space="0" w:color="A6A6A6"/>
              <w:right w:val="single" w:sz="8" w:space="0" w:color="A6A6A6"/>
            </w:tcBorders>
            <w:shd w:val="clear" w:color="auto" w:fill="auto"/>
            <w:vAlign w:val="center"/>
            <w:hideMark/>
          </w:tcPr>
          <w:p w14:paraId="3ABE2826"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2.2</w:t>
            </w:r>
          </w:p>
        </w:tc>
        <w:tc>
          <w:tcPr>
            <w:tcW w:w="1990" w:type="pct"/>
            <w:tcBorders>
              <w:top w:val="nil"/>
              <w:left w:val="nil"/>
              <w:bottom w:val="single" w:sz="8" w:space="0" w:color="A6A6A6"/>
              <w:right w:val="single" w:sz="8" w:space="0" w:color="A6A6A6"/>
            </w:tcBorders>
            <w:shd w:val="clear" w:color="FFFFFF" w:fill="FFFFFF"/>
            <w:vAlign w:val="center"/>
            <w:hideMark/>
          </w:tcPr>
          <w:p w14:paraId="2C1714EB"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Implementar instrumentos y herramientas para garantizar la accesibilidad a las páginas web de las entidades</w:t>
            </w:r>
          </w:p>
        </w:tc>
        <w:tc>
          <w:tcPr>
            <w:tcW w:w="1175" w:type="pct"/>
            <w:tcBorders>
              <w:top w:val="nil"/>
              <w:left w:val="nil"/>
              <w:bottom w:val="single" w:sz="8" w:space="0" w:color="A6A6A6"/>
              <w:right w:val="single" w:sz="8" w:space="0" w:color="A6A6A6"/>
            </w:tcBorders>
            <w:shd w:val="clear" w:color="auto" w:fill="auto"/>
            <w:vAlign w:val="center"/>
            <w:hideMark/>
          </w:tcPr>
          <w:p w14:paraId="0C8A506B"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Disminuir los niveles de errores de accesibilidad  en la Página web corporativa a un 90%</w:t>
            </w:r>
          </w:p>
        </w:tc>
        <w:tc>
          <w:tcPr>
            <w:tcW w:w="655" w:type="pct"/>
            <w:tcBorders>
              <w:top w:val="nil"/>
              <w:left w:val="nil"/>
              <w:bottom w:val="single" w:sz="8" w:space="0" w:color="A6A6A6"/>
              <w:right w:val="single" w:sz="8" w:space="0" w:color="A6A6A6"/>
            </w:tcBorders>
            <w:shd w:val="clear" w:color="FFFFFF" w:fill="FFFFFF"/>
            <w:vAlign w:val="center"/>
            <w:hideMark/>
          </w:tcPr>
          <w:p w14:paraId="313BD291"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Oficina de  Planeación </w:t>
            </w:r>
          </w:p>
        </w:tc>
        <w:tc>
          <w:tcPr>
            <w:tcW w:w="460" w:type="pct"/>
            <w:tcBorders>
              <w:top w:val="nil"/>
              <w:left w:val="nil"/>
              <w:bottom w:val="single" w:sz="8" w:space="0" w:color="A6A6A6"/>
              <w:right w:val="single" w:sz="8" w:space="0" w:color="A6A6A6"/>
            </w:tcBorders>
            <w:shd w:val="clear" w:color="auto" w:fill="auto"/>
            <w:vAlign w:val="center"/>
            <w:hideMark/>
          </w:tcPr>
          <w:p w14:paraId="5F09D945"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30/4/2022</w:t>
            </w:r>
          </w:p>
        </w:tc>
      </w:tr>
      <w:tr w:rsidR="00B6144D" w:rsidRPr="00B6144D" w14:paraId="357C3F98" w14:textId="77777777" w:rsidTr="00B6144D">
        <w:trPr>
          <w:trHeight w:val="705"/>
        </w:trPr>
        <w:tc>
          <w:tcPr>
            <w:tcW w:w="605" w:type="pct"/>
            <w:vMerge w:val="restart"/>
            <w:tcBorders>
              <w:top w:val="nil"/>
              <w:left w:val="single" w:sz="8" w:space="0" w:color="A6A6A6"/>
              <w:bottom w:val="single" w:sz="8" w:space="0" w:color="A6A6A6"/>
              <w:right w:val="single" w:sz="8" w:space="0" w:color="A6A6A6"/>
            </w:tcBorders>
            <w:shd w:val="clear" w:color="E7E6E6" w:fill="D9E1F2"/>
            <w:vAlign w:val="center"/>
            <w:hideMark/>
          </w:tcPr>
          <w:p w14:paraId="2F16C22B"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Cs/>
                <w:color w:val="auto"/>
                <w:sz w:val="20"/>
                <w:szCs w:val="20"/>
                <w:lang w:val="es-CO" w:eastAsia="es-CO"/>
              </w:rPr>
              <w:t xml:space="preserve">Subcomponente 3                          </w:t>
            </w:r>
            <w:r w:rsidRPr="00B6144D">
              <w:rPr>
                <w:rFonts w:asciiTheme="majorHAnsi" w:eastAsia="Times New Roman" w:hAnsiTheme="majorHAnsi" w:cstheme="majorHAnsi"/>
                <w:b w:val="0"/>
                <w:color w:val="auto"/>
                <w:sz w:val="20"/>
                <w:szCs w:val="20"/>
                <w:lang w:val="es-CO" w:eastAsia="es-CO"/>
              </w:rPr>
              <w:t xml:space="preserve"> Talento humano</w:t>
            </w:r>
          </w:p>
        </w:tc>
        <w:tc>
          <w:tcPr>
            <w:tcW w:w="115" w:type="pct"/>
            <w:tcBorders>
              <w:top w:val="nil"/>
              <w:left w:val="nil"/>
              <w:bottom w:val="single" w:sz="8" w:space="0" w:color="A6A6A6"/>
              <w:right w:val="single" w:sz="8" w:space="0" w:color="A6A6A6"/>
            </w:tcBorders>
            <w:shd w:val="clear" w:color="auto" w:fill="auto"/>
            <w:vAlign w:val="center"/>
            <w:hideMark/>
          </w:tcPr>
          <w:p w14:paraId="1723C5FD"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3.1</w:t>
            </w:r>
          </w:p>
        </w:tc>
        <w:tc>
          <w:tcPr>
            <w:tcW w:w="1990" w:type="pct"/>
            <w:tcBorders>
              <w:top w:val="nil"/>
              <w:left w:val="nil"/>
              <w:bottom w:val="single" w:sz="8" w:space="0" w:color="A6A6A6"/>
              <w:right w:val="single" w:sz="8" w:space="0" w:color="A6A6A6"/>
            </w:tcBorders>
            <w:shd w:val="clear" w:color="auto" w:fill="auto"/>
            <w:vAlign w:val="center"/>
            <w:hideMark/>
          </w:tcPr>
          <w:p w14:paraId="526F30A2"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Fortalecer las competencias de los servidores públicos que atienden directamente a los ciudadanos a través de procesos de cualificación.</w:t>
            </w:r>
          </w:p>
        </w:tc>
        <w:tc>
          <w:tcPr>
            <w:tcW w:w="1175" w:type="pct"/>
            <w:tcBorders>
              <w:top w:val="nil"/>
              <w:left w:val="nil"/>
              <w:bottom w:val="single" w:sz="8" w:space="0" w:color="A6A6A6"/>
              <w:right w:val="single" w:sz="8" w:space="0" w:color="A6A6A6"/>
            </w:tcBorders>
            <w:shd w:val="clear" w:color="auto" w:fill="auto"/>
            <w:vAlign w:val="center"/>
            <w:hideMark/>
          </w:tcPr>
          <w:p w14:paraId="0EA999C3"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1 Capacitación - Registros de asistencia</w:t>
            </w:r>
          </w:p>
        </w:tc>
        <w:tc>
          <w:tcPr>
            <w:tcW w:w="655" w:type="pct"/>
            <w:tcBorders>
              <w:top w:val="nil"/>
              <w:left w:val="nil"/>
              <w:bottom w:val="single" w:sz="8" w:space="0" w:color="A6A6A6"/>
              <w:right w:val="single" w:sz="8" w:space="0" w:color="A6A6A6"/>
            </w:tcBorders>
            <w:shd w:val="clear" w:color="auto" w:fill="auto"/>
            <w:vAlign w:val="center"/>
            <w:hideMark/>
          </w:tcPr>
          <w:p w14:paraId="1B7C7854"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Gestión del Talento Humano</w:t>
            </w:r>
          </w:p>
        </w:tc>
        <w:tc>
          <w:tcPr>
            <w:tcW w:w="460" w:type="pct"/>
            <w:tcBorders>
              <w:top w:val="nil"/>
              <w:left w:val="nil"/>
              <w:bottom w:val="single" w:sz="8" w:space="0" w:color="A6A6A6"/>
              <w:right w:val="single" w:sz="8" w:space="0" w:color="A6A6A6"/>
            </w:tcBorders>
            <w:shd w:val="clear" w:color="auto" w:fill="auto"/>
            <w:vAlign w:val="center"/>
            <w:hideMark/>
          </w:tcPr>
          <w:p w14:paraId="1120E19F"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r>
      <w:tr w:rsidR="00B6144D" w:rsidRPr="00B6144D" w14:paraId="55D1DFC0" w14:textId="77777777" w:rsidTr="00B6144D">
        <w:trPr>
          <w:trHeight w:val="750"/>
        </w:trPr>
        <w:tc>
          <w:tcPr>
            <w:tcW w:w="605" w:type="pct"/>
            <w:vMerge/>
            <w:tcBorders>
              <w:top w:val="nil"/>
              <w:left w:val="single" w:sz="8" w:space="0" w:color="A6A6A6"/>
              <w:bottom w:val="single" w:sz="8" w:space="0" w:color="A6A6A6"/>
              <w:right w:val="single" w:sz="8" w:space="0" w:color="A6A6A6"/>
            </w:tcBorders>
            <w:vAlign w:val="center"/>
            <w:hideMark/>
          </w:tcPr>
          <w:p w14:paraId="7AA071D9"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15" w:type="pct"/>
            <w:tcBorders>
              <w:top w:val="nil"/>
              <w:left w:val="nil"/>
              <w:bottom w:val="single" w:sz="8" w:space="0" w:color="A6A6A6"/>
              <w:right w:val="single" w:sz="8" w:space="0" w:color="A6A6A6"/>
            </w:tcBorders>
            <w:shd w:val="clear" w:color="auto" w:fill="auto"/>
            <w:vAlign w:val="center"/>
            <w:hideMark/>
          </w:tcPr>
          <w:p w14:paraId="783C848B"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3.2</w:t>
            </w:r>
          </w:p>
        </w:tc>
        <w:tc>
          <w:tcPr>
            <w:tcW w:w="1990" w:type="pct"/>
            <w:tcBorders>
              <w:top w:val="nil"/>
              <w:left w:val="nil"/>
              <w:bottom w:val="single" w:sz="8" w:space="0" w:color="A6A6A6"/>
              <w:right w:val="single" w:sz="8" w:space="0" w:color="A6A6A6"/>
            </w:tcBorders>
            <w:shd w:val="clear" w:color="auto" w:fill="auto"/>
            <w:vAlign w:val="center"/>
            <w:hideMark/>
          </w:tcPr>
          <w:p w14:paraId="44B5CC4C"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Promover espacios de sensibilización para fortalecer la cultura del servicio al interior de la Corporación.</w:t>
            </w:r>
          </w:p>
        </w:tc>
        <w:tc>
          <w:tcPr>
            <w:tcW w:w="1175" w:type="pct"/>
            <w:tcBorders>
              <w:top w:val="nil"/>
              <w:left w:val="nil"/>
              <w:bottom w:val="single" w:sz="8" w:space="0" w:color="A6A6A6"/>
              <w:right w:val="single" w:sz="8" w:space="0" w:color="A6A6A6"/>
            </w:tcBorders>
            <w:shd w:val="clear" w:color="auto" w:fill="auto"/>
            <w:vAlign w:val="center"/>
            <w:hideMark/>
          </w:tcPr>
          <w:p w14:paraId="0D6B4692"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1 Capacitación - Registros de asistencia</w:t>
            </w:r>
          </w:p>
        </w:tc>
        <w:tc>
          <w:tcPr>
            <w:tcW w:w="655" w:type="pct"/>
            <w:tcBorders>
              <w:top w:val="nil"/>
              <w:left w:val="nil"/>
              <w:bottom w:val="single" w:sz="8" w:space="0" w:color="A6A6A6"/>
              <w:right w:val="single" w:sz="8" w:space="0" w:color="A6A6A6"/>
            </w:tcBorders>
            <w:shd w:val="clear" w:color="auto" w:fill="auto"/>
            <w:vAlign w:val="center"/>
            <w:hideMark/>
          </w:tcPr>
          <w:p w14:paraId="677F030A"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Gestión del Talento Humano</w:t>
            </w:r>
          </w:p>
        </w:tc>
        <w:tc>
          <w:tcPr>
            <w:tcW w:w="460" w:type="pct"/>
            <w:tcBorders>
              <w:top w:val="nil"/>
              <w:left w:val="nil"/>
              <w:bottom w:val="single" w:sz="8" w:space="0" w:color="A6A6A6"/>
              <w:right w:val="single" w:sz="8" w:space="0" w:color="A6A6A6"/>
            </w:tcBorders>
            <w:shd w:val="clear" w:color="auto" w:fill="auto"/>
            <w:vAlign w:val="center"/>
            <w:hideMark/>
          </w:tcPr>
          <w:p w14:paraId="0EA472B9"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r>
      <w:tr w:rsidR="00B6144D" w:rsidRPr="00B6144D" w14:paraId="0B913533" w14:textId="77777777" w:rsidTr="00B6144D">
        <w:trPr>
          <w:trHeight w:val="795"/>
        </w:trPr>
        <w:tc>
          <w:tcPr>
            <w:tcW w:w="605" w:type="pct"/>
            <w:vMerge/>
            <w:tcBorders>
              <w:top w:val="nil"/>
              <w:left w:val="single" w:sz="8" w:space="0" w:color="A6A6A6"/>
              <w:bottom w:val="single" w:sz="8" w:space="0" w:color="A6A6A6"/>
              <w:right w:val="single" w:sz="8" w:space="0" w:color="A6A6A6"/>
            </w:tcBorders>
            <w:vAlign w:val="center"/>
            <w:hideMark/>
          </w:tcPr>
          <w:p w14:paraId="6F819998"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15" w:type="pct"/>
            <w:tcBorders>
              <w:top w:val="single" w:sz="8" w:space="0" w:color="A6A6A6"/>
              <w:left w:val="nil"/>
              <w:bottom w:val="single" w:sz="8" w:space="0" w:color="A6A6A6"/>
              <w:right w:val="single" w:sz="8" w:space="0" w:color="A6A6A6"/>
            </w:tcBorders>
            <w:shd w:val="clear" w:color="auto" w:fill="auto"/>
            <w:vAlign w:val="center"/>
            <w:hideMark/>
          </w:tcPr>
          <w:p w14:paraId="59EE5C0C"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3.3</w:t>
            </w:r>
          </w:p>
        </w:tc>
        <w:tc>
          <w:tcPr>
            <w:tcW w:w="1990" w:type="pct"/>
            <w:tcBorders>
              <w:top w:val="single" w:sz="8" w:space="0" w:color="A6A6A6"/>
              <w:left w:val="nil"/>
              <w:bottom w:val="single" w:sz="8" w:space="0" w:color="A6A6A6"/>
              <w:right w:val="single" w:sz="8" w:space="0" w:color="A6A6A6"/>
            </w:tcBorders>
            <w:shd w:val="clear" w:color="FFFFFF" w:fill="FFFFFF"/>
            <w:vAlign w:val="center"/>
            <w:hideMark/>
          </w:tcPr>
          <w:p w14:paraId="284E0DB4"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Promover capacitaciones de Lenguaje claro al interior de la Corporación para Funcionarios y Contratistas</w:t>
            </w:r>
          </w:p>
        </w:tc>
        <w:tc>
          <w:tcPr>
            <w:tcW w:w="1175" w:type="pct"/>
            <w:tcBorders>
              <w:top w:val="single" w:sz="8" w:space="0" w:color="A6A6A6"/>
              <w:left w:val="nil"/>
              <w:bottom w:val="single" w:sz="8" w:space="0" w:color="A6A6A6"/>
              <w:right w:val="single" w:sz="8" w:space="0" w:color="A6A6A6"/>
            </w:tcBorders>
            <w:shd w:val="clear" w:color="auto" w:fill="auto"/>
            <w:vAlign w:val="center"/>
            <w:hideMark/>
          </w:tcPr>
          <w:p w14:paraId="557087F5"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1 Campaña de promoción de lenguaje claro</w:t>
            </w:r>
          </w:p>
        </w:tc>
        <w:tc>
          <w:tcPr>
            <w:tcW w:w="655" w:type="pct"/>
            <w:tcBorders>
              <w:top w:val="single" w:sz="8" w:space="0" w:color="A6A6A6"/>
              <w:left w:val="nil"/>
              <w:bottom w:val="single" w:sz="8" w:space="0" w:color="A6A6A6"/>
              <w:right w:val="single" w:sz="8" w:space="0" w:color="A6A6A6"/>
            </w:tcBorders>
            <w:shd w:val="clear" w:color="auto" w:fill="auto"/>
            <w:vAlign w:val="center"/>
            <w:hideMark/>
          </w:tcPr>
          <w:p w14:paraId="591CAC7A"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Oficina de planeación - </w:t>
            </w:r>
            <w:r w:rsidRPr="00B6144D">
              <w:rPr>
                <w:rFonts w:asciiTheme="majorHAnsi" w:eastAsia="Times New Roman" w:hAnsiTheme="majorHAnsi" w:cstheme="majorHAnsi"/>
                <w:b w:val="0"/>
                <w:color w:val="auto"/>
                <w:sz w:val="20"/>
                <w:szCs w:val="20"/>
                <w:lang w:val="es-CO" w:eastAsia="es-CO"/>
              </w:rPr>
              <w:t>Comunicaciones</w:t>
            </w:r>
          </w:p>
        </w:tc>
        <w:tc>
          <w:tcPr>
            <w:tcW w:w="460" w:type="pct"/>
            <w:tcBorders>
              <w:top w:val="single" w:sz="8" w:space="0" w:color="A6A6A6"/>
              <w:left w:val="nil"/>
              <w:bottom w:val="single" w:sz="8" w:space="0" w:color="A6A6A6"/>
              <w:right w:val="single" w:sz="8" w:space="0" w:color="A6A6A6"/>
            </w:tcBorders>
            <w:shd w:val="clear" w:color="FFFFFF" w:fill="FFFFFF"/>
            <w:vAlign w:val="center"/>
            <w:hideMark/>
          </w:tcPr>
          <w:p w14:paraId="3C11A26E"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31/07/2022</w:t>
            </w:r>
            <w:r w:rsidRPr="00B6144D">
              <w:rPr>
                <w:rFonts w:asciiTheme="majorHAnsi" w:eastAsia="Times New Roman" w:hAnsiTheme="majorHAnsi" w:cstheme="majorHAnsi"/>
                <w:b w:val="0"/>
                <w:color w:val="000000"/>
                <w:sz w:val="20"/>
                <w:szCs w:val="20"/>
                <w:lang w:val="es-CO" w:eastAsia="es-CO"/>
              </w:rPr>
              <w:br/>
              <w:t>30/12/2022</w:t>
            </w:r>
          </w:p>
        </w:tc>
      </w:tr>
      <w:tr w:rsidR="00B6144D" w:rsidRPr="00B6144D" w14:paraId="60CB4872" w14:textId="77777777" w:rsidTr="00B6144D">
        <w:trPr>
          <w:trHeight w:val="1920"/>
        </w:trPr>
        <w:tc>
          <w:tcPr>
            <w:tcW w:w="605" w:type="pct"/>
            <w:vMerge/>
            <w:tcBorders>
              <w:top w:val="nil"/>
              <w:left w:val="single" w:sz="8" w:space="0" w:color="A6A6A6"/>
              <w:bottom w:val="single" w:sz="8" w:space="0" w:color="A6A6A6"/>
              <w:right w:val="single" w:sz="8" w:space="0" w:color="A6A6A6"/>
            </w:tcBorders>
            <w:vAlign w:val="center"/>
            <w:hideMark/>
          </w:tcPr>
          <w:p w14:paraId="5CB293D5"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15" w:type="pct"/>
            <w:tcBorders>
              <w:top w:val="single" w:sz="8" w:space="0" w:color="A6A6A6"/>
              <w:left w:val="nil"/>
              <w:bottom w:val="single" w:sz="8" w:space="0" w:color="A6A6A6"/>
              <w:right w:val="single" w:sz="8" w:space="0" w:color="A6A6A6"/>
            </w:tcBorders>
            <w:shd w:val="clear" w:color="auto" w:fill="auto"/>
            <w:vAlign w:val="center"/>
            <w:hideMark/>
          </w:tcPr>
          <w:p w14:paraId="49DE35F5"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3.4</w:t>
            </w:r>
          </w:p>
        </w:tc>
        <w:tc>
          <w:tcPr>
            <w:tcW w:w="1990" w:type="pct"/>
            <w:tcBorders>
              <w:top w:val="single" w:sz="8" w:space="0" w:color="A6A6A6"/>
              <w:left w:val="nil"/>
              <w:bottom w:val="single" w:sz="8" w:space="0" w:color="A6A6A6"/>
              <w:right w:val="single" w:sz="8" w:space="0" w:color="A6A6A6"/>
            </w:tcBorders>
            <w:shd w:val="clear" w:color="auto" w:fill="auto"/>
            <w:vAlign w:val="center"/>
            <w:hideMark/>
          </w:tcPr>
          <w:p w14:paraId="6CC8E133"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Incluir en el Plan Institucional de Capacitación temáticas relacionadas con el mejoramiento del servicio al ciudadano, como por ejemplo: cultura de servicio al ciudadano, fortalecimiento de competencias para el desarrollo de la labor de servicio, innovación en la administración púbica, ética y valores del servidor público, normatividad, competencias y habilidades personales, gestión del cambio, lenguaje claro, entre otros.</w:t>
            </w:r>
          </w:p>
        </w:tc>
        <w:tc>
          <w:tcPr>
            <w:tcW w:w="1175" w:type="pct"/>
            <w:tcBorders>
              <w:top w:val="single" w:sz="8" w:space="0" w:color="A6A6A6"/>
              <w:left w:val="nil"/>
              <w:bottom w:val="single" w:sz="8" w:space="0" w:color="A6A6A6"/>
              <w:right w:val="single" w:sz="8" w:space="0" w:color="A6A6A6"/>
            </w:tcBorders>
            <w:shd w:val="clear" w:color="auto" w:fill="auto"/>
            <w:vAlign w:val="center"/>
            <w:hideMark/>
          </w:tcPr>
          <w:p w14:paraId="717462A0"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-Plan Institucional de Capacitación con temáticas de mejoramiento del servicio al ciudadano</w:t>
            </w:r>
            <w:r w:rsidRPr="00B6144D">
              <w:rPr>
                <w:rFonts w:asciiTheme="majorHAnsi" w:eastAsia="Times New Roman" w:hAnsiTheme="majorHAnsi" w:cstheme="majorHAnsi"/>
                <w:b w:val="0"/>
                <w:color w:val="000000"/>
                <w:sz w:val="20"/>
                <w:szCs w:val="20"/>
                <w:lang w:val="es-CO" w:eastAsia="es-CO"/>
              </w:rPr>
              <w:br/>
              <w:t>-Capacitaciones de acuerdo al Plan - Registros de asistencias</w:t>
            </w:r>
          </w:p>
        </w:tc>
        <w:tc>
          <w:tcPr>
            <w:tcW w:w="655" w:type="pct"/>
            <w:tcBorders>
              <w:top w:val="single" w:sz="8" w:space="0" w:color="A6A6A6"/>
              <w:left w:val="nil"/>
              <w:bottom w:val="single" w:sz="8" w:space="0" w:color="A6A6A6"/>
              <w:right w:val="single" w:sz="8" w:space="0" w:color="A6A6A6"/>
            </w:tcBorders>
            <w:shd w:val="clear" w:color="auto" w:fill="auto"/>
            <w:vAlign w:val="center"/>
            <w:hideMark/>
          </w:tcPr>
          <w:p w14:paraId="18F89322"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Gestión del Talento Humano</w:t>
            </w:r>
          </w:p>
        </w:tc>
        <w:tc>
          <w:tcPr>
            <w:tcW w:w="460" w:type="pct"/>
            <w:tcBorders>
              <w:top w:val="single" w:sz="8" w:space="0" w:color="A6A6A6"/>
              <w:left w:val="nil"/>
              <w:bottom w:val="single" w:sz="8" w:space="0" w:color="A6A6A6"/>
              <w:right w:val="single" w:sz="8" w:space="0" w:color="A6A6A6"/>
            </w:tcBorders>
            <w:shd w:val="clear" w:color="auto" w:fill="auto"/>
            <w:vAlign w:val="center"/>
            <w:hideMark/>
          </w:tcPr>
          <w:p w14:paraId="13312E56"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r>
      <w:tr w:rsidR="00B6144D" w:rsidRPr="00B6144D" w14:paraId="24CCBFE2" w14:textId="77777777" w:rsidTr="00B6144D">
        <w:trPr>
          <w:trHeight w:val="705"/>
        </w:trPr>
        <w:tc>
          <w:tcPr>
            <w:tcW w:w="605" w:type="pct"/>
            <w:vMerge w:val="restart"/>
            <w:tcBorders>
              <w:top w:val="nil"/>
              <w:left w:val="single" w:sz="8" w:space="0" w:color="A6A6A6"/>
              <w:bottom w:val="single" w:sz="8" w:space="0" w:color="A6A6A6"/>
              <w:right w:val="single" w:sz="8" w:space="0" w:color="A6A6A6"/>
            </w:tcBorders>
            <w:shd w:val="clear" w:color="E7E6E6" w:fill="D9E1F2"/>
            <w:vAlign w:val="center"/>
            <w:hideMark/>
          </w:tcPr>
          <w:p w14:paraId="71A727E2"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Subcomponente 4</w:t>
            </w:r>
            <w:r w:rsidRPr="00B6144D">
              <w:rPr>
                <w:rFonts w:asciiTheme="majorHAnsi" w:eastAsia="Times New Roman" w:hAnsiTheme="majorHAnsi" w:cstheme="majorHAnsi"/>
                <w:b w:val="0"/>
                <w:color w:val="000000"/>
                <w:sz w:val="20"/>
                <w:szCs w:val="20"/>
                <w:lang w:val="es-CO" w:eastAsia="es-CO"/>
              </w:rPr>
              <w:t xml:space="preserve">    Normativo y procedimental</w:t>
            </w:r>
          </w:p>
        </w:tc>
        <w:tc>
          <w:tcPr>
            <w:tcW w:w="115" w:type="pct"/>
            <w:tcBorders>
              <w:top w:val="single" w:sz="8" w:space="0" w:color="A6A6A6"/>
              <w:left w:val="nil"/>
              <w:bottom w:val="single" w:sz="8" w:space="0" w:color="A6A6A6"/>
              <w:right w:val="single" w:sz="8" w:space="0" w:color="A6A6A6"/>
            </w:tcBorders>
            <w:shd w:val="clear" w:color="auto" w:fill="auto"/>
            <w:vAlign w:val="center"/>
            <w:hideMark/>
          </w:tcPr>
          <w:p w14:paraId="34B20D93"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4.1</w:t>
            </w:r>
          </w:p>
        </w:tc>
        <w:tc>
          <w:tcPr>
            <w:tcW w:w="1990" w:type="pct"/>
            <w:tcBorders>
              <w:top w:val="single" w:sz="8" w:space="0" w:color="A6A6A6"/>
              <w:left w:val="nil"/>
              <w:bottom w:val="single" w:sz="8" w:space="0" w:color="A6A6A6"/>
              <w:right w:val="single" w:sz="8" w:space="0" w:color="A6A6A6"/>
            </w:tcBorders>
            <w:shd w:val="clear" w:color="auto" w:fill="auto"/>
            <w:vAlign w:val="center"/>
            <w:hideMark/>
          </w:tcPr>
          <w:p w14:paraId="2DBF9FA3"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Actualizar y socializar las modificaciones del procedimiento de gestión interna de peticiones</w:t>
            </w:r>
          </w:p>
        </w:tc>
        <w:tc>
          <w:tcPr>
            <w:tcW w:w="1175" w:type="pct"/>
            <w:tcBorders>
              <w:top w:val="single" w:sz="8" w:space="0" w:color="A6A6A6"/>
              <w:left w:val="nil"/>
              <w:bottom w:val="single" w:sz="8" w:space="0" w:color="A6A6A6"/>
              <w:right w:val="single" w:sz="8" w:space="0" w:color="A6A6A6"/>
            </w:tcBorders>
            <w:shd w:val="clear" w:color="auto" w:fill="auto"/>
            <w:vAlign w:val="center"/>
            <w:hideMark/>
          </w:tcPr>
          <w:p w14:paraId="2B5C04E3"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Procedimiento socializado</w:t>
            </w:r>
          </w:p>
        </w:tc>
        <w:tc>
          <w:tcPr>
            <w:tcW w:w="655" w:type="pct"/>
            <w:tcBorders>
              <w:top w:val="single" w:sz="8" w:space="0" w:color="A6A6A6"/>
              <w:left w:val="nil"/>
              <w:bottom w:val="single" w:sz="8" w:space="0" w:color="A6A6A6"/>
              <w:right w:val="single" w:sz="8" w:space="0" w:color="A6A6A6"/>
            </w:tcBorders>
            <w:shd w:val="clear" w:color="auto" w:fill="auto"/>
            <w:vAlign w:val="center"/>
            <w:hideMark/>
          </w:tcPr>
          <w:p w14:paraId="043435AF"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Oficina Jurídica</w:t>
            </w:r>
          </w:p>
        </w:tc>
        <w:tc>
          <w:tcPr>
            <w:tcW w:w="460" w:type="pct"/>
            <w:tcBorders>
              <w:top w:val="single" w:sz="8" w:space="0" w:color="A6A6A6"/>
              <w:left w:val="nil"/>
              <w:bottom w:val="single" w:sz="8" w:space="0" w:color="A6A6A6"/>
              <w:right w:val="single" w:sz="8" w:space="0" w:color="A6A6A6"/>
            </w:tcBorders>
            <w:shd w:val="clear" w:color="auto" w:fill="auto"/>
            <w:noWrap/>
            <w:vAlign w:val="center"/>
            <w:hideMark/>
          </w:tcPr>
          <w:p w14:paraId="61FC3D69"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31/8/2022</w:t>
            </w:r>
          </w:p>
        </w:tc>
      </w:tr>
      <w:tr w:rsidR="00B6144D" w:rsidRPr="00B6144D" w14:paraId="6C67B73A" w14:textId="77777777" w:rsidTr="00B6144D">
        <w:trPr>
          <w:trHeight w:val="795"/>
        </w:trPr>
        <w:tc>
          <w:tcPr>
            <w:tcW w:w="605" w:type="pct"/>
            <w:vMerge/>
            <w:tcBorders>
              <w:top w:val="nil"/>
              <w:left w:val="single" w:sz="8" w:space="0" w:color="A6A6A6"/>
              <w:bottom w:val="single" w:sz="8" w:space="0" w:color="A6A6A6"/>
              <w:right w:val="single" w:sz="8" w:space="0" w:color="A6A6A6"/>
            </w:tcBorders>
            <w:vAlign w:val="center"/>
            <w:hideMark/>
          </w:tcPr>
          <w:p w14:paraId="5DEA19AA"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15" w:type="pct"/>
            <w:tcBorders>
              <w:top w:val="single" w:sz="8" w:space="0" w:color="A6A6A6"/>
              <w:left w:val="nil"/>
              <w:bottom w:val="single" w:sz="8" w:space="0" w:color="A6A6A6"/>
              <w:right w:val="single" w:sz="8" w:space="0" w:color="A6A6A6"/>
            </w:tcBorders>
            <w:shd w:val="clear" w:color="auto" w:fill="auto"/>
            <w:vAlign w:val="center"/>
            <w:hideMark/>
          </w:tcPr>
          <w:p w14:paraId="78E7836B"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4.2</w:t>
            </w:r>
          </w:p>
        </w:tc>
        <w:tc>
          <w:tcPr>
            <w:tcW w:w="1990" w:type="pct"/>
            <w:tcBorders>
              <w:top w:val="single" w:sz="8" w:space="0" w:color="A6A6A6"/>
              <w:left w:val="nil"/>
              <w:bottom w:val="single" w:sz="8" w:space="0" w:color="A6A6A6"/>
              <w:right w:val="single" w:sz="8" w:space="0" w:color="A6A6A6"/>
            </w:tcBorders>
            <w:shd w:val="clear" w:color="auto" w:fill="auto"/>
            <w:vAlign w:val="center"/>
            <w:hideMark/>
          </w:tcPr>
          <w:p w14:paraId="64A998F4"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Realizar campañas informativas sobre la responsabilidad de los servidores públicos frente a los derechos de los ciudadanos</w:t>
            </w:r>
          </w:p>
        </w:tc>
        <w:tc>
          <w:tcPr>
            <w:tcW w:w="1175" w:type="pct"/>
            <w:tcBorders>
              <w:top w:val="single" w:sz="8" w:space="0" w:color="A6A6A6"/>
              <w:left w:val="nil"/>
              <w:bottom w:val="single" w:sz="8" w:space="0" w:color="A6A6A6"/>
              <w:right w:val="single" w:sz="8" w:space="0" w:color="A6A6A6"/>
            </w:tcBorders>
            <w:shd w:val="clear" w:color="auto" w:fill="auto"/>
            <w:vAlign w:val="center"/>
            <w:hideMark/>
          </w:tcPr>
          <w:p w14:paraId="595DB6DC"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1 Campaña de difusión frente a los derechos de los ciudadanos</w:t>
            </w:r>
          </w:p>
        </w:tc>
        <w:tc>
          <w:tcPr>
            <w:tcW w:w="655" w:type="pct"/>
            <w:tcBorders>
              <w:top w:val="single" w:sz="8" w:space="0" w:color="A6A6A6"/>
              <w:left w:val="nil"/>
              <w:bottom w:val="single" w:sz="8" w:space="0" w:color="A6A6A6"/>
              <w:right w:val="single" w:sz="8" w:space="0" w:color="A6A6A6"/>
            </w:tcBorders>
            <w:shd w:val="clear" w:color="auto" w:fill="auto"/>
            <w:vAlign w:val="center"/>
            <w:hideMark/>
          </w:tcPr>
          <w:p w14:paraId="7B3CF72D"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Oficina de planeación - </w:t>
            </w:r>
            <w:r w:rsidRPr="00B6144D">
              <w:rPr>
                <w:rFonts w:asciiTheme="majorHAnsi" w:eastAsia="Times New Roman" w:hAnsiTheme="majorHAnsi" w:cstheme="majorHAnsi"/>
                <w:b w:val="0"/>
                <w:color w:val="auto"/>
                <w:sz w:val="20"/>
                <w:szCs w:val="20"/>
                <w:lang w:val="es-CO" w:eastAsia="es-CO"/>
              </w:rPr>
              <w:t>Comunicaciones</w:t>
            </w:r>
          </w:p>
        </w:tc>
        <w:tc>
          <w:tcPr>
            <w:tcW w:w="460" w:type="pct"/>
            <w:tcBorders>
              <w:top w:val="single" w:sz="8" w:space="0" w:color="A6A6A6"/>
              <w:left w:val="nil"/>
              <w:bottom w:val="single" w:sz="8" w:space="0" w:color="A6A6A6"/>
              <w:right w:val="single" w:sz="8" w:space="0" w:color="A6A6A6"/>
            </w:tcBorders>
            <w:shd w:val="clear" w:color="FFFFFF" w:fill="FFFFFF"/>
            <w:vAlign w:val="center"/>
            <w:hideMark/>
          </w:tcPr>
          <w:p w14:paraId="6CE370B5"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31/07/2022</w:t>
            </w:r>
            <w:r w:rsidRPr="00B6144D">
              <w:rPr>
                <w:rFonts w:asciiTheme="majorHAnsi" w:eastAsia="Times New Roman" w:hAnsiTheme="majorHAnsi" w:cstheme="majorHAnsi"/>
                <w:b w:val="0"/>
                <w:color w:val="000000"/>
                <w:sz w:val="20"/>
                <w:szCs w:val="20"/>
                <w:lang w:val="es-CO" w:eastAsia="es-CO"/>
              </w:rPr>
              <w:br/>
              <w:t>30/12/2022</w:t>
            </w:r>
          </w:p>
        </w:tc>
      </w:tr>
      <w:tr w:rsidR="00B6144D" w:rsidRPr="00B6144D" w14:paraId="0066F1F2" w14:textId="77777777" w:rsidTr="00B6144D">
        <w:trPr>
          <w:trHeight w:val="1485"/>
        </w:trPr>
        <w:tc>
          <w:tcPr>
            <w:tcW w:w="605" w:type="pct"/>
            <w:tcBorders>
              <w:top w:val="nil"/>
              <w:left w:val="single" w:sz="8" w:space="0" w:color="A6A6A6"/>
              <w:bottom w:val="single" w:sz="8" w:space="0" w:color="A6A6A6"/>
              <w:right w:val="single" w:sz="8" w:space="0" w:color="A6A6A6"/>
            </w:tcBorders>
            <w:shd w:val="clear" w:color="E7E6E6" w:fill="D9E1F2"/>
            <w:vAlign w:val="center"/>
            <w:hideMark/>
          </w:tcPr>
          <w:p w14:paraId="61ED266D"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Cs/>
                <w:color w:val="auto"/>
                <w:sz w:val="20"/>
                <w:szCs w:val="20"/>
                <w:lang w:val="es-CO" w:eastAsia="es-CO"/>
              </w:rPr>
              <w:t xml:space="preserve">Subcomponente 5   </w:t>
            </w:r>
            <w:r w:rsidRPr="00B6144D">
              <w:rPr>
                <w:rFonts w:asciiTheme="majorHAnsi" w:eastAsia="Times New Roman" w:hAnsiTheme="majorHAnsi" w:cstheme="majorHAnsi"/>
                <w:b w:val="0"/>
                <w:color w:val="auto"/>
                <w:sz w:val="20"/>
                <w:szCs w:val="20"/>
                <w:lang w:val="es-CO" w:eastAsia="es-CO"/>
              </w:rPr>
              <w:t xml:space="preserve"> Relacionamiento con el ciudadano</w:t>
            </w:r>
          </w:p>
        </w:tc>
        <w:tc>
          <w:tcPr>
            <w:tcW w:w="115" w:type="pct"/>
            <w:tcBorders>
              <w:top w:val="single" w:sz="8" w:space="0" w:color="A6A6A6"/>
              <w:left w:val="nil"/>
              <w:bottom w:val="single" w:sz="8" w:space="0" w:color="A6A6A6"/>
              <w:right w:val="single" w:sz="8" w:space="0" w:color="A6A6A6"/>
            </w:tcBorders>
            <w:shd w:val="clear" w:color="auto" w:fill="auto"/>
            <w:vAlign w:val="center"/>
            <w:hideMark/>
          </w:tcPr>
          <w:p w14:paraId="61E81543"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5.1</w:t>
            </w:r>
          </w:p>
        </w:tc>
        <w:tc>
          <w:tcPr>
            <w:tcW w:w="1990" w:type="pct"/>
            <w:tcBorders>
              <w:top w:val="single" w:sz="8" w:space="0" w:color="A6A6A6"/>
              <w:left w:val="nil"/>
              <w:bottom w:val="single" w:sz="8" w:space="0" w:color="A6A6A6"/>
              <w:right w:val="single" w:sz="8" w:space="0" w:color="A6A6A6"/>
            </w:tcBorders>
            <w:shd w:val="clear" w:color="FFFFFF" w:fill="FFFFFF"/>
            <w:vAlign w:val="center"/>
            <w:hideMark/>
          </w:tcPr>
          <w:p w14:paraId="1F849A3C"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Realizar medición anual de satisfacción de los ciudadanos respecto a la calidad y accesibilidad de la oferta institucional y el servicio recibido, e informar los resultados al nivel directivo con el fin de identificar oportunidades y acciones de mejora.</w:t>
            </w:r>
          </w:p>
        </w:tc>
        <w:tc>
          <w:tcPr>
            <w:tcW w:w="1175" w:type="pct"/>
            <w:tcBorders>
              <w:top w:val="single" w:sz="8" w:space="0" w:color="A6A6A6"/>
              <w:left w:val="nil"/>
              <w:bottom w:val="single" w:sz="8" w:space="0" w:color="A6A6A6"/>
              <w:right w:val="single" w:sz="8" w:space="0" w:color="A6A6A6"/>
            </w:tcBorders>
            <w:shd w:val="clear" w:color="auto" w:fill="auto"/>
            <w:vAlign w:val="center"/>
            <w:hideMark/>
          </w:tcPr>
          <w:p w14:paraId="3D1DC30B"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Informe de medición anual de satisfacción de los ciudadanos</w:t>
            </w:r>
          </w:p>
        </w:tc>
        <w:tc>
          <w:tcPr>
            <w:tcW w:w="655" w:type="pct"/>
            <w:tcBorders>
              <w:top w:val="single" w:sz="8" w:space="0" w:color="A6A6A6"/>
              <w:left w:val="nil"/>
              <w:bottom w:val="single" w:sz="8" w:space="0" w:color="A6A6A6"/>
              <w:right w:val="single" w:sz="8" w:space="0" w:color="A6A6A6"/>
            </w:tcBorders>
            <w:shd w:val="clear" w:color="auto" w:fill="auto"/>
            <w:vAlign w:val="center"/>
            <w:hideMark/>
          </w:tcPr>
          <w:p w14:paraId="39D04F45"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Oficina de Planeación</w:t>
            </w:r>
          </w:p>
        </w:tc>
        <w:tc>
          <w:tcPr>
            <w:tcW w:w="460" w:type="pct"/>
            <w:tcBorders>
              <w:top w:val="single" w:sz="8" w:space="0" w:color="A6A6A6"/>
              <w:left w:val="nil"/>
              <w:bottom w:val="single" w:sz="8" w:space="0" w:color="A6A6A6"/>
              <w:right w:val="single" w:sz="8" w:space="0" w:color="A6A6A6"/>
            </w:tcBorders>
            <w:shd w:val="clear" w:color="auto" w:fill="auto"/>
            <w:vAlign w:val="center"/>
            <w:hideMark/>
          </w:tcPr>
          <w:p w14:paraId="077DCE7B"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r>
    </w:tbl>
    <w:p w14:paraId="1BED3ECC" w14:textId="778EE43C" w:rsidR="00B6144D" w:rsidRDefault="00B6144D"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3FD6C09E" w14:textId="2CA839C0" w:rsidR="00B6144D" w:rsidRDefault="00B6144D"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4CBC581C" w14:textId="708D1072" w:rsidR="00B6144D" w:rsidRDefault="00B6144D"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72BA113E" w14:textId="085C794E" w:rsidR="004052A8" w:rsidRDefault="004052A8" w:rsidP="00043A3F">
      <w:pPr>
        <w:autoSpaceDE w:val="0"/>
        <w:autoSpaceDN w:val="0"/>
        <w:adjustRightInd w:val="0"/>
        <w:spacing w:line="240" w:lineRule="auto"/>
        <w:jc w:val="both"/>
        <w:rPr>
          <w:rFonts w:ascii="FuturaStd-Light" w:hAnsi="FuturaStd-Light" w:cs="FuturaStd-Light"/>
          <w:sz w:val="19"/>
          <w:szCs w:val="19"/>
        </w:rPr>
      </w:pPr>
    </w:p>
    <w:p w14:paraId="5EA65524" w14:textId="2E1D29F3" w:rsidR="00B6144D" w:rsidRDefault="00B6144D" w:rsidP="00043A3F">
      <w:pPr>
        <w:autoSpaceDE w:val="0"/>
        <w:autoSpaceDN w:val="0"/>
        <w:adjustRightInd w:val="0"/>
        <w:spacing w:line="240" w:lineRule="auto"/>
        <w:jc w:val="both"/>
        <w:rPr>
          <w:rFonts w:ascii="FuturaStd-Light" w:hAnsi="FuturaStd-Light" w:cs="FuturaStd-Light"/>
          <w:sz w:val="19"/>
          <w:szCs w:val="19"/>
        </w:rPr>
      </w:pPr>
    </w:p>
    <w:p w14:paraId="2FDF1EB4" w14:textId="1DA9A78D" w:rsidR="00B6144D" w:rsidRDefault="00B6144D" w:rsidP="00043A3F">
      <w:pPr>
        <w:autoSpaceDE w:val="0"/>
        <w:autoSpaceDN w:val="0"/>
        <w:adjustRightInd w:val="0"/>
        <w:spacing w:line="240" w:lineRule="auto"/>
        <w:jc w:val="both"/>
        <w:rPr>
          <w:rFonts w:ascii="FuturaStd-Light" w:hAnsi="FuturaStd-Light" w:cs="FuturaStd-Light"/>
          <w:sz w:val="19"/>
          <w:szCs w:val="19"/>
        </w:rPr>
      </w:pPr>
    </w:p>
    <w:p w14:paraId="108D7CA1" w14:textId="1EF2ED01" w:rsidR="00B6144D" w:rsidRDefault="00B6144D" w:rsidP="00043A3F">
      <w:pPr>
        <w:autoSpaceDE w:val="0"/>
        <w:autoSpaceDN w:val="0"/>
        <w:adjustRightInd w:val="0"/>
        <w:spacing w:line="240" w:lineRule="auto"/>
        <w:jc w:val="both"/>
        <w:rPr>
          <w:rFonts w:ascii="FuturaStd-Light" w:hAnsi="FuturaStd-Light" w:cs="FuturaStd-Light"/>
          <w:sz w:val="19"/>
          <w:szCs w:val="19"/>
        </w:rPr>
      </w:pPr>
    </w:p>
    <w:p w14:paraId="687B01E6" w14:textId="5204B9C8" w:rsidR="00B6144D" w:rsidRDefault="00B6144D" w:rsidP="00043A3F">
      <w:pPr>
        <w:autoSpaceDE w:val="0"/>
        <w:autoSpaceDN w:val="0"/>
        <w:adjustRightInd w:val="0"/>
        <w:spacing w:line="240" w:lineRule="auto"/>
        <w:jc w:val="both"/>
        <w:rPr>
          <w:rFonts w:ascii="FuturaStd-Light" w:hAnsi="FuturaStd-Light" w:cs="FuturaStd-Light"/>
          <w:sz w:val="19"/>
          <w:szCs w:val="19"/>
        </w:rPr>
      </w:pPr>
    </w:p>
    <w:p w14:paraId="1A5816B5" w14:textId="77777777" w:rsidR="00B6144D" w:rsidRDefault="00B6144D" w:rsidP="00043A3F">
      <w:pPr>
        <w:autoSpaceDE w:val="0"/>
        <w:autoSpaceDN w:val="0"/>
        <w:adjustRightInd w:val="0"/>
        <w:spacing w:line="240" w:lineRule="auto"/>
        <w:jc w:val="both"/>
        <w:rPr>
          <w:rFonts w:ascii="FuturaStd-Light" w:hAnsi="FuturaStd-Light" w:cs="FuturaStd-Light"/>
          <w:sz w:val="19"/>
          <w:szCs w:val="19"/>
        </w:rPr>
      </w:pPr>
    </w:p>
    <w:p w14:paraId="67347A59" w14:textId="77777777" w:rsidR="00043A3F" w:rsidRPr="007C545F" w:rsidRDefault="00043A3F" w:rsidP="0033059A">
      <w:pPr>
        <w:pStyle w:val="Ttulo"/>
        <w:rPr>
          <w:rFonts w:cstheme="majorHAnsi"/>
          <w:sz w:val="32"/>
          <w:szCs w:val="32"/>
        </w:rPr>
      </w:pPr>
      <w:r w:rsidRPr="007C545F">
        <w:rPr>
          <w:rFonts w:cstheme="majorHAnsi"/>
          <w:sz w:val="32"/>
          <w:szCs w:val="32"/>
        </w:rPr>
        <w:lastRenderedPageBreak/>
        <w:t xml:space="preserve">3.5. Mecanismos para la Transparencia y Acceso a la Información </w:t>
      </w:r>
    </w:p>
    <w:p w14:paraId="634687DD" w14:textId="5EF1323E" w:rsidR="00043A3F" w:rsidRDefault="00043A3F" w:rsidP="00567FFA">
      <w:pPr>
        <w:autoSpaceDE w:val="0"/>
        <w:autoSpaceDN w:val="0"/>
        <w:adjustRightInd w:val="0"/>
        <w:spacing w:line="240" w:lineRule="auto"/>
        <w:ind w:right="1223"/>
        <w:jc w:val="both"/>
        <w:rPr>
          <w:rFonts w:asciiTheme="majorHAnsi" w:hAnsiTheme="majorHAnsi" w:cstheme="majorHAnsi"/>
          <w:color w:val="auto"/>
          <w:sz w:val="16"/>
          <w:szCs w:val="19"/>
        </w:rPr>
      </w:pPr>
      <w:r w:rsidRPr="008A2968">
        <w:rPr>
          <w:rFonts w:asciiTheme="majorHAnsi" w:hAnsiTheme="majorHAnsi" w:cstheme="majorHAnsi"/>
          <w:b w:val="0"/>
          <w:color w:val="auto"/>
          <w:sz w:val="24"/>
          <w:szCs w:val="28"/>
        </w:rPr>
        <w:t>Recoge los lineamientos para la garantía del derecho fundamental de acceso a la información pública, según el cual toda persona puede acceder a la información pública en posesión o bajo el control de los sujetos obligados de la ley, excepto la información y los documentos considerados como legalmente reservados.</w:t>
      </w:r>
      <w:r w:rsidR="008C777D" w:rsidRPr="008A2968">
        <w:rPr>
          <w:rFonts w:asciiTheme="majorHAnsi" w:hAnsiTheme="majorHAnsi" w:cstheme="majorHAnsi"/>
          <w:color w:val="auto"/>
          <w:sz w:val="16"/>
          <w:szCs w:val="19"/>
        </w:rPr>
        <w:t xml:space="preserve"> </w:t>
      </w:r>
    </w:p>
    <w:p w14:paraId="66214E49" w14:textId="26C53797" w:rsidR="00B6144D" w:rsidRDefault="00B6144D"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76F25300" w14:textId="49671B37" w:rsidR="00B6144D" w:rsidRDefault="00B6144D" w:rsidP="00567FFA">
      <w:pPr>
        <w:autoSpaceDE w:val="0"/>
        <w:autoSpaceDN w:val="0"/>
        <w:adjustRightInd w:val="0"/>
        <w:spacing w:line="240" w:lineRule="auto"/>
        <w:ind w:right="1223"/>
        <w:jc w:val="both"/>
        <w:rPr>
          <w:rFonts w:asciiTheme="majorHAnsi" w:hAnsiTheme="majorHAnsi" w:cstheme="majorHAnsi"/>
          <w:color w:val="auto"/>
          <w:sz w:val="16"/>
          <w:szCs w:val="19"/>
        </w:rPr>
      </w:pPr>
    </w:p>
    <w:tbl>
      <w:tblPr>
        <w:tblW w:w="5000" w:type="pct"/>
        <w:tblCellMar>
          <w:left w:w="70" w:type="dxa"/>
          <w:right w:w="70" w:type="dxa"/>
        </w:tblCellMar>
        <w:tblLook w:val="04A0" w:firstRow="1" w:lastRow="0" w:firstColumn="1" w:lastColumn="0" w:noHBand="0" w:noVBand="1"/>
      </w:tblPr>
      <w:tblGrid>
        <w:gridCol w:w="1707"/>
        <w:gridCol w:w="474"/>
        <w:gridCol w:w="3797"/>
        <w:gridCol w:w="2678"/>
        <w:gridCol w:w="3462"/>
        <w:gridCol w:w="1964"/>
        <w:gridCol w:w="1296"/>
      </w:tblGrid>
      <w:tr w:rsidR="00B6144D" w:rsidRPr="00B6144D" w14:paraId="2AE1960B" w14:textId="77777777" w:rsidTr="00B6144D">
        <w:trPr>
          <w:trHeight w:val="300"/>
        </w:trPr>
        <w:tc>
          <w:tcPr>
            <w:tcW w:w="5000" w:type="pct"/>
            <w:gridSpan w:val="7"/>
            <w:tcBorders>
              <w:top w:val="single" w:sz="8" w:space="0" w:color="A6A6A6"/>
              <w:left w:val="single" w:sz="8" w:space="0" w:color="A6A6A6"/>
              <w:bottom w:val="single" w:sz="8" w:space="0" w:color="A6A6A6"/>
              <w:right w:val="single" w:sz="8" w:space="0" w:color="A6A6A6"/>
            </w:tcBorders>
            <w:shd w:val="clear" w:color="E7E6E6" w:fill="F2F2F2"/>
            <w:vAlign w:val="center"/>
            <w:hideMark/>
          </w:tcPr>
          <w:p w14:paraId="251ED517"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Componente 5: Transparencia y Acceso a la Información</w:t>
            </w:r>
          </w:p>
        </w:tc>
      </w:tr>
      <w:tr w:rsidR="00B6144D" w:rsidRPr="00B6144D" w14:paraId="03FA1746" w14:textId="77777777" w:rsidTr="00905318">
        <w:trPr>
          <w:trHeight w:val="615"/>
        </w:trPr>
        <w:tc>
          <w:tcPr>
            <w:tcW w:w="555" w:type="pct"/>
            <w:tcBorders>
              <w:top w:val="nil"/>
              <w:left w:val="single" w:sz="8" w:space="0" w:color="A6A6A6"/>
              <w:bottom w:val="single" w:sz="8" w:space="0" w:color="A6A6A6"/>
              <w:right w:val="single" w:sz="8" w:space="0" w:color="A6A6A6"/>
            </w:tcBorders>
            <w:shd w:val="clear" w:color="E7E6E6" w:fill="F2F2F2"/>
            <w:noWrap/>
            <w:vAlign w:val="center"/>
            <w:hideMark/>
          </w:tcPr>
          <w:p w14:paraId="2B45F0CD"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Subcomponente</w:t>
            </w:r>
          </w:p>
        </w:tc>
        <w:tc>
          <w:tcPr>
            <w:tcW w:w="1389" w:type="pct"/>
            <w:gridSpan w:val="2"/>
            <w:tcBorders>
              <w:top w:val="single" w:sz="8" w:space="0" w:color="A6A6A6"/>
              <w:left w:val="nil"/>
              <w:bottom w:val="single" w:sz="8" w:space="0" w:color="A6A6A6"/>
              <w:right w:val="single" w:sz="8" w:space="0" w:color="A6A6A6"/>
            </w:tcBorders>
            <w:shd w:val="clear" w:color="E7E6E6" w:fill="F2F2F2"/>
            <w:noWrap/>
            <w:vAlign w:val="center"/>
            <w:hideMark/>
          </w:tcPr>
          <w:p w14:paraId="3533A2EB"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Actividades</w:t>
            </w:r>
          </w:p>
        </w:tc>
        <w:tc>
          <w:tcPr>
            <w:tcW w:w="871" w:type="pct"/>
            <w:tcBorders>
              <w:top w:val="nil"/>
              <w:left w:val="nil"/>
              <w:bottom w:val="single" w:sz="8" w:space="0" w:color="A6A6A6"/>
              <w:right w:val="single" w:sz="8" w:space="0" w:color="A6A6A6"/>
            </w:tcBorders>
            <w:shd w:val="clear" w:color="E7E6E6" w:fill="F2F2F2"/>
            <w:vAlign w:val="center"/>
            <w:hideMark/>
          </w:tcPr>
          <w:p w14:paraId="18FDDEED"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Meta o producto</w:t>
            </w:r>
          </w:p>
        </w:tc>
        <w:tc>
          <w:tcPr>
            <w:tcW w:w="1126" w:type="pct"/>
            <w:tcBorders>
              <w:top w:val="nil"/>
              <w:left w:val="nil"/>
              <w:bottom w:val="single" w:sz="8" w:space="0" w:color="A6A6A6"/>
              <w:right w:val="single" w:sz="8" w:space="0" w:color="A6A6A6"/>
            </w:tcBorders>
            <w:shd w:val="clear" w:color="E7E6E6" w:fill="F2F2F2"/>
            <w:vAlign w:val="center"/>
            <w:hideMark/>
          </w:tcPr>
          <w:p w14:paraId="5E5DDD7F"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Indicadores</w:t>
            </w:r>
          </w:p>
        </w:tc>
        <w:tc>
          <w:tcPr>
            <w:tcW w:w="639" w:type="pct"/>
            <w:tcBorders>
              <w:top w:val="nil"/>
              <w:left w:val="nil"/>
              <w:bottom w:val="single" w:sz="8" w:space="0" w:color="A6A6A6"/>
              <w:right w:val="single" w:sz="8" w:space="0" w:color="A6A6A6"/>
            </w:tcBorders>
            <w:shd w:val="clear" w:color="E7E6E6" w:fill="F2F2F2"/>
            <w:noWrap/>
            <w:vAlign w:val="center"/>
            <w:hideMark/>
          </w:tcPr>
          <w:p w14:paraId="52074234"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 xml:space="preserve">Responsable </w:t>
            </w:r>
          </w:p>
        </w:tc>
        <w:tc>
          <w:tcPr>
            <w:tcW w:w="421" w:type="pct"/>
            <w:tcBorders>
              <w:top w:val="nil"/>
              <w:left w:val="nil"/>
              <w:bottom w:val="single" w:sz="8" w:space="0" w:color="A6A6A6"/>
              <w:right w:val="single" w:sz="8" w:space="0" w:color="A6A6A6"/>
            </w:tcBorders>
            <w:shd w:val="clear" w:color="E7E6E6" w:fill="F2F2F2"/>
            <w:vAlign w:val="center"/>
            <w:hideMark/>
          </w:tcPr>
          <w:p w14:paraId="7B83A266"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Fecha programada</w:t>
            </w:r>
          </w:p>
        </w:tc>
      </w:tr>
      <w:tr w:rsidR="00B6144D" w:rsidRPr="00B6144D" w14:paraId="4D0CAE34" w14:textId="77777777" w:rsidTr="00905318">
        <w:trPr>
          <w:trHeight w:val="870"/>
        </w:trPr>
        <w:tc>
          <w:tcPr>
            <w:tcW w:w="555" w:type="pct"/>
            <w:vMerge w:val="restart"/>
            <w:tcBorders>
              <w:top w:val="nil"/>
              <w:left w:val="single" w:sz="8" w:space="0" w:color="A6A6A6"/>
              <w:bottom w:val="single" w:sz="8" w:space="0" w:color="A6A6A6"/>
              <w:right w:val="single" w:sz="8" w:space="0" w:color="A6A6A6"/>
            </w:tcBorders>
            <w:shd w:val="clear" w:color="D0CECE" w:fill="D9E1F2"/>
            <w:vAlign w:val="center"/>
            <w:hideMark/>
          </w:tcPr>
          <w:p w14:paraId="2C5B816B"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Subcomponente 1</w:t>
            </w:r>
            <w:r w:rsidRPr="00B6144D">
              <w:rPr>
                <w:rFonts w:asciiTheme="majorHAnsi" w:eastAsia="Times New Roman" w:hAnsiTheme="majorHAnsi" w:cstheme="majorHAnsi"/>
                <w:b w:val="0"/>
                <w:color w:val="000000"/>
                <w:sz w:val="20"/>
                <w:szCs w:val="20"/>
                <w:lang w:val="es-CO" w:eastAsia="es-CO"/>
              </w:rPr>
              <w:t xml:space="preserve">                                                                          Lineamientos de Transparencia Activa</w:t>
            </w:r>
          </w:p>
        </w:tc>
        <w:tc>
          <w:tcPr>
            <w:tcW w:w="154" w:type="pct"/>
            <w:tcBorders>
              <w:top w:val="nil"/>
              <w:left w:val="nil"/>
              <w:bottom w:val="single" w:sz="8" w:space="0" w:color="A6A6A6"/>
              <w:right w:val="single" w:sz="8" w:space="0" w:color="A6A6A6"/>
            </w:tcBorders>
            <w:shd w:val="clear" w:color="auto" w:fill="auto"/>
            <w:vAlign w:val="center"/>
            <w:hideMark/>
          </w:tcPr>
          <w:p w14:paraId="4D80A70F"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1.1</w:t>
            </w:r>
          </w:p>
        </w:tc>
        <w:tc>
          <w:tcPr>
            <w:tcW w:w="1235" w:type="pct"/>
            <w:tcBorders>
              <w:top w:val="nil"/>
              <w:left w:val="nil"/>
              <w:bottom w:val="single" w:sz="8" w:space="0" w:color="A6A6A6"/>
              <w:right w:val="single" w:sz="8" w:space="0" w:color="A6A6A6"/>
            </w:tcBorders>
            <w:shd w:val="clear" w:color="auto" w:fill="auto"/>
            <w:vAlign w:val="center"/>
            <w:hideMark/>
          </w:tcPr>
          <w:p w14:paraId="5B95C556"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Gestionar las solicitudes de publicación y actualización en la página web corporativa.</w:t>
            </w:r>
          </w:p>
        </w:tc>
        <w:tc>
          <w:tcPr>
            <w:tcW w:w="871" w:type="pct"/>
            <w:tcBorders>
              <w:top w:val="nil"/>
              <w:left w:val="nil"/>
              <w:bottom w:val="single" w:sz="8" w:space="0" w:color="A6A6A6"/>
              <w:right w:val="single" w:sz="8" w:space="0" w:color="A6A6A6"/>
            </w:tcBorders>
            <w:shd w:val="clear" w:color="auto" w:fill="auto"/>
            <w:vAlign w:val="center"/>
            <w:hideMark/>
          </w:tcPr>
          <w:p w14:paraId="1BC05ABF"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Atención del 100% de las solicitudes de  publicación y actualización en la página web </w:t>
            </w:r>
          </w:p>
        </w:tc>
        <w:tc>
          <w:tcPr>
            <w:tcW w:w="1126" w:type="pct"/>
            <w:tcBorders>
              <w:top w:val="nil"/>
              <w:left w:val="nil"/>
              <w:bottom w:val="single" w:sz="8" w:space="0" w:color="A6A6A6"/>
              <w:right w:val="single" w:sz="8" w:space="0" w:color="A6A6A6"/>
            </w:tcBorders>
            <w:shd w:val="clear" w:color="auto" w:fill="auto"/>
            <w:vAlign w:val="center"/>
            <w:hideMark/>
          </w:tcPr>
          <w:p w14:paraId="3D661772"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No. solicitudes atendidas de publicación y actualización en la página web / No. solicitudes recibidas de publicación y actualización en la página web</w:t>
            </w:r>
          </w:p>
        </w:tc>
        <w:tc>
          <w:tcPr>
            <w:tcW w:w="639" w:type="pct"/>
            <w:tcBorders>
              <w:top w:val="nil"/>
              <w:left w:val="nil"/>
              <w:bottom w:val="single" w:sz="8" w:space="0" w:color="A6A6A6"/>
              <w:right w:val="single" w:sz="8" w:space="0" w:color="A6A6A6"/>
            </w:tcBorders>
            <w:shd w:val="clear" w:color="FFFFFF" w:fill="FFFFFF"/>
            <w:vAlign w:val="center"/>
            <w:hideMark/>
          </w:tcPr>
          <w:p w14:paraId="109E43E3"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Oficina de  Planeación </w:t>
            </w:r>
          </w:p>
        </w:tc>
        <w:tc>
          <w:tcPr>
            <w:tcW w:w="421" w:type="pct"/>
            <w:tcBorders>
              <w:top w:val="nil"/>
              <w:left w:val="nil"/>
              <w:bottom w:val="single" w:sz="8" w:space="0" w:color="A6A6A6"/>
              <w:right w:val="single" w:sz="8" w:space="0" w:color="A6A6A6"/>
            </w:tcBorders>
            <w:shd w:val="clear" w:color="FFFFFF" w:fill="FFFFFF"/>
            <w:noWrap/>
            <w:vAlign w:val="center"/>
            <w:hideMark/>
          </w:tcPr>
          <w:p w14:paraId="229F1C48"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r>
      <w:tr w:rsidR="00B6144D" w:rsidRPr="00B6144D" w14:paraId="0EFC0B32" w14:textId="77777777" w:rsidTr="00905318">
        <w:trPr>
          <w:trHeight w:val="1155"/>
        </w:trPr>
        <w:tc>
          <w:tcPr>
            <w:tcW w:w="555" w:type="pct"/>
            <w:vMerge/>
            <w:tcBorders>
              <w:top w:val="nil"/>
              <w:left w:val="single" w:sz="8" w:space="0" w:color="A6A6A6"/>
              <w:bottom w:val="single" w:sz="8" w:space="0" w:color="A6A6A6"/>
              <w:right w:val="single" w:sz="8" w:space="0" w:color="A6A6A6"/>
            </w:tcBorders>
            <w:vAlign w:val="center"/>
            <w:hideMark/>
          </w:tcPr>
          <w:p w14:paraId="7A83D5A2"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54" w:type="pct"/>
            <w:tcBorders>
              <w:top w:val="nil"/>
              <w:left w:val="nil"/>
              <w:bottom w:val="single" w:sz="8" w:space="0" w:color="A6A6A6"/>
              <w:right w:val="single" w:sz="8" w:space="0" w:color="A6A6A6"/>
            </w:tcBorders>
            <w:shd w:val="clear" w:color="auto" w:fill="auto"/>
            <w:vAlign w:val="center"/>
            <w:hideMark/>
          </w:tcPr>
          <w:p w14:paraId="2EA79267"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1.2</w:t>
            </w:r>
          </w:p>
        </w:tc>
        <w:tc>
          <w:tcPr>
            <w:tcW w:w="1235" w:type="pct"/>
            <w:tcBorders>
              <w:top w:val="nil"/>
              <w:left w:val="nil"/>
              <w:bottom w:val="single" w:sz="8" w:space="0" w:color="A6A6A6"/>
              <w:right w:val="single" w:sz="8" w:space="0" w:color="A6A6A6"/>
            </w:tcBorders>
            <w:shd w:val="clear" w:color="auto" w:fill="auto"/>
            <w:vAlign w:val="center"/>
            <w:hideMark/>
          </w:tcPr>
          <w:p w14:paraId="6DA83848"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Realizar actualización de la información de interés establecida por la Ley 1712 de 2014 (Ley de Transparencia) en la Página web.</w:t>
            </w:r>
          </w:p>
        </w:tc>
        <w:tc>
          <w:tcPr>
            <w:tcW w:w="871" w:type="pct"/>
            <w:tcBorders>
              <w:top w:val="nil"/>
              <w:left w:val="nil"/>
              <w:bottom w:val="single" w:sz="8" w:space="0" w:color="A6A6A6"/>
              <w:right w:val="single" w:sz="8" w:space="0" w:color="A6A6A6"/>
            </w:tcBorders>
            <w:shd w:val="clear" w:color="auto" w:fill="auto"/>
            <w:vAlign w:val="center"/>
            <w:hideMark/>
          </w:tcPr>
          <w:p w14:paraId="69840B34"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Sección de Transparencia y Acceso a la Información Pública en la página web actualizada</w:t>
            </w:r>
          </w:p>
        </w:tc>
        <w:tc>
          <w:tcPr>
            <w:tcW w:w="1126" w:type="pct"/>
            <w:tcBorders>
              <w:top w:val="nil"/>
              <w:left w:val="nil"/>
              <w:bottom w:val="single" w:sz="8" w:space="0" w:color="A6A6A6"/>
              <w:right w:val="single" w:sz="8" w:space="0" w:color="A6A6A6"/>
            </w:tcBorders>
            <w:shd w:val="clear" w:color="auto" w:fill="auto"/>
            <w:vAlign w:val="center"/>
            <w:hideMark/>
          </w:tcPr>
          <w:p w14:paraId="09AEBD35"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de Información Mínima (Ley Transparencia) publicada / Publicación de información Mínima requerida por Ley</w:t>
            </w:r>
          </w:p>
        </w:tc>
        <w:tc>
          <w:tcPr>
            <w:tcW w:w="639" w:type="pct"/>
            <w:tcBorders>
              <w:top w:val="nil"/>
              <w:left w:val="nil"/>
              <w:bottom w:val="single" w:sz="8" w:space="0" w:color="A6A6A6"/>
              <w:right w:val="single" w:sz="8" w:space="0" w:color="A6A6A6"/>
            </w:tcBorders>
            <w:shd w:val="clear" w:color="FFFFFF" w:fill="FFFFFF"/>
            <w:vAlign w:val="center"/>
            <w:hideMark/>
          </w:tcPr>
          <w:p w14:paraId="0F9D62A3"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Responsables de la Información asignados en el Esquema de Publicación de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p>
        </w:tc>
        <w:tc>
          <w:tcPr>
            <w:tcW w:w="421" w:type="pct"/>
            <w:tcBorders>
              <w:top w:val="nil"/>
              <w:left w:val="nil"/>
              <w:bottom w:val="single" w:sz="8" w:space="0" w:color="A6A6A6"/>
              <w:right w:val="single" w:sz="8" w:space="0" w:color="A6A6A6"/>
            </w:tcBorders>
            <w:shd w:val="clear" w:color="FFFFFF" w:fill="FFFFFF"/>
            <w:vAlign w:val="center"/>
            <w:hideMark/>
          </w:tcPr>
          <w:p w14:paraId="23DDCC87" w14:textId="77777777" w:rsidR="00B6144D" w:rsidRPr="00B6144D" w:rsidRDefault="00B6144D" w:rsidP="00B6144D">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08/04/2022</w:t>
            </w:r>
            <w:r w:rsidRPr="00B6144D">
              <w:rPr>
                <w:rFonts w:asciiTheme="majorHAnsi" w:eastAsia="Times New Roman" w:hAnsiTheme="majorHAnsi" w:cstheme="majorHAnsi"/>
                <w:b w:val="0"/>
                <w:color w:val="auto"/>
                <w:sz w:val="20"/>
                <w:szCs w:val="20"/>
                <w:lang w:val="es-CO" w:eastAsia="es-CO"/>
              </w:rPr>
              <w:br/>
              <w:t>08/07/2022</w:t>
            </w:r>
            <w:r w:rsidRPr="00B6144D">
              <w:rPr>
                <w:rFonts w:asciiTheme="majorHAnsi" w:eastAsia="Times New Roman" w:hAnsiTheme="majorHAnsi" w:cstheme="majorHAnsi"/>
                <w:b w:val="0"/>
                <w:color w:val="auto"/>
                <w:sz w:val="20"/>
                <w:szCs w:val="20"/>
                <w:lang w:val="es-CO" w:eastAsia="es-CO"/>
              </w:rPr>
              <w:br/>
              <w:t>07/10/2022</w:t>
            </w:r>
            <w:r w:rsidRPr="00B6144D">
              <w:rPr>
                <w:rFonts w:asciiTheme="majorHAnsi" w:eastAsia="Times New Roman" w:hAnsiTheme="majorHAnsi" w:cstheme="majorHAnsi"/>
                <w:b w:val="0"/>
                <w:color w:val="auto"/>
                <w:sz w:val="20"/>
                <w:szCs w:val="20"/>
                <w:lang w:val="es-CO" w:eastAsia="es-CO"/>
              </w:rPr>
              <w:br/>
              <w:t>06/01/2023</w:t>
            </w:r>
          </w:p>
        </w:tc>
      </w:tr>
      <w:tr w:rsidR="00B6144D" w:rsidRPr="00B6144D" w14:paraId="0B24FEEA" w14:textId="77777777" w:rsidTr="00905318">
        <w:trPr>
          <w:trHeight w:val="810"/>
        </w:trPr>
        <w:tc>
          <w:tcPr>
            <w:tcW w:w="555" w:type="pct"/>
            <w:vMerge/>
            <w:tcBorders>
              <w:top w:val="nil"/>
              <w:left w:val="single" w:sz="8" w:space="0" w:color="A6A6A6"/>
              <w:bottom w:val="single" w:sz="8" w:space="0" w:color="A6A6A6"/>
              <w:right w:val="single" w:sz="8" w:space="0" w:color="A6A6A6"/>
            </w:tcBorders>
            <w:vAlign w:val="center"/>
            <w:hideMark/>
          </w:tcPr>
          <w:p w14:paraId="764640D2"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54" w:type="pct"/>
            <w:tcBorders>
              <w:top w:val="nil"/>
              <w:left w:val="nil"/>
              <w:bottom w:val="single" w:sz="8" w:space="0" w:color="A6A6A6"/>
              <w:right w:val="single" w:sz="8" w:space="0" w:color="A6A6A6"/>
            </w:tcBorders>
            <w:shd w:val="clear" w:color="auto" w:fill="auto"/>
            <w:vAlign w:val="center"/>
            <w:hideMark/>
          </w:tcPr>
          <w:p w14:paraId="0031B952"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1.3</w:t>
            </w:r>
          </w:p>
        </w:tc>
        <w:tc>
          <w:tcPr>
            <w:tcW w:w="1235" w:type="pct"/>
            <w:tcBorders>
              <w:top w:val="nil"/>
              <w:left w:val="nil"/>
              <w:bottom w:val="single" w:sz="8" w:space="0" w:color="A6A6A6"/>
              <w:right w:val="single" w:sz="8" w:space="0" w:color="A6A6A6"/>
            </w:tcBorders>
            <w:shd w:val="clear" w:color="auto" w:fill="auto"/>
            <w:vAlign w:val="center"/>
            <w:hideMark/>
          </w:tcPr>
          <w:p w14:paraId="0E9F2A2D"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Actualizar el conjunto de datos en el Portal de Datos Abiertos  del Estado</w:t>
            </w:r>
          </w:p>
        </w:tc>
        <w:tc>
          <w:tcPr>
            <w:tcW w:w="871" w:type="pct"/>
            <w:tcBorders>
              <w:top w:val="nil"/>
              <w:left w:val="nil"/>
              <w:bottom w:val="single" w:sz="8" w:space="0" w:color="A6A6A6"/>
              <w:right w:val="single" w:sz="8" w:space="0" w:color="A6A6A6"/>
            </w:tcBorders>
            <w:shd w:val="clear" w:color="auto" w:fill="auto"/>
            <w:vAlign w:val="center"/>
            <w:hideMark/>
          </w:tcPr>
          <w:p w14:paraId="0B21BA59"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Actualización de los 4 conjuntos de datos en el Portal de Datos Abiertos.</w:t>
            </w:r>
          </w:p>
        </w:tc>
        <w:tc>
          <w:tcPr>
            <w:tcW w:w="1126" w:type="pct"/>
            <w:tcBorders>
              <w:top w:val="nil"/>
              <w:left w:val="nil"/>
              <w:bottom w:val="single" w:sz="8" w:space="0" w:color="A6A6A6"/>
              <w:right w:val="single" w:sz="8" w:space="0" w:color="A6A6A6"/>
            </w:tcBorders>
            <w:shd w:val="clear" w:color="auto" w:fill="auto"/>
            <w:vAlign w:val="center"/>
            <w:hideMark/>
          </w:tcPr>
          <w:p w14:paraId="27F69A71"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No.  De conjunto de datos publicados/No. De datos actualizados</w:t>
            </w:r>
          </w:p>
        </w:tc>
        <w:tc>
          <w:tcPr>
            <w:tcW w:w="639" w:type="pct"/>
            <w:tcBorders>
              <w:top w:val="nil"/>
              <w:left w:val="nil"/>
              <w:bottom w:val="single" w:sz="8" w:space="0" w:color="A6A6A6"/>
              <w:right w:val="single" w:sz="8" w:space="0" w:color="A6A6A6"/>
            </w:tcBorders>
            <w:shd w:val="clear" w:color="FFFFFF" w:fill="FFFFFF"/>
            <w:vAlign w:val="center"/>
            <w:hideMark/>
          </w:tcPr>
          <w:p w14:paraId="3A8FB03B"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Oficina de  Planeación - Gestión Documental- Laboratorio Ambiental</w:t>
            </w:r>
          </w:p>
        </w:tc>
        <w:tc>
          <w:tcPr>
            <w:tcW w:w="421" w:type="pct"/>
            <w:tcBorders>
              <w:top w:val="nil"/>
              <w:left w:val="nil"/>
              <w:bottom w:val="single" w:sz="8" w:space="0" w:color="A6A6A6"/>
              <w:right w:val="single" w:sz="8" w:space="0" w:color="A6A6A6"/>
            </w:tcBorders>
            <w:shd w:val="clear" w:color="FFFFFF" w:fill="FFFFFF"/>
            <w:vAlign w:val="center"/>
            <w:hideMark/>
          </w:tcPr>
          <w:p w14:paraId="3568A8EB"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31/01/2022 a 31/12/2022</w:t>
            </w:r>
          </w:p>
        </w:tc>
      </w:tr>
      <w:tr w:rsidR="00B6144D" w:rsidRPr="00B6144D" w14:paraId="240C335A" w14:textId="77777777" w:rsidTr="00905318">
        <w:trPr>
          <w:trHeight w:val="1020"/>
        </w:trPr>
        <w:tc>
          <w:tcPr>
            <w:tcW w:w="555" w:type="pct"/>
            <w:tcBorders>
              <w:top w:val="nil"/>
              <w:left w:val="single" w:sz="8" w:space="0" w:color="A6A6A6"/>
              <w:bottom w:val="single" w:sz="8" w:space="0" w:color="A6A6A6"/>
              <w:right w:val="single" w:sz="8" w:space="0" w:color="A6A6A6"/>
            </w:tcBorders>
            <w:shd w:val="clear" w:color="D0CECE" w:fill="D9E1F2"/>
            <w:vAlign w:val="center"/>
            <w:hideMark/>
          </w:tcPr>
          <w:p w14:paraId="25540BAF"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 xml:space="preserve">Subcomponente 2                                                                          </w:t>
            </w:r>
            <w:r w:rsidRPr="00B6144D">
              <w:rPr>
                <w:rFonts w:asciiTheme="majorHAnsi" w:eastAsia="Times New Roman" w:hAnsiTheme="majorHAnsi" w:cstheme="majorHAnsi"/>
                <w:b w:val="0"/>
                <w:color w:val="000000"/>
                <w:sz w:val="20"/>
                <w:szCs w:val="20"/>
                <w:lang w:val="es-CO" w:eastAsia="es-CO"/>
              </w:rPr>
              <w:t>Lineamientos de Transparencia Pasiva</w:t>
            </w:r>
          </w:p>
        </w:tc>
        <w:tc>
          <w:tcPr>
            <w:tcW w:w="154" w:type="pct"/>
            <w:tcBorders>
              <w:top w:val="nil"/>
              <w:left w:val="nil"/>
              <w:bottom w:val="single" w:sz="8" w:space="0" w:color="A6A6A6"/>
              <w:right w:val="single" w:sz="8" w:space="0" w:color="A6A6A6"/>
            </w:tcBorders>
            <w:shd w:val="clear" w:color="auto" w:fill="auto"/>
            <w:vAlign w:val="center"/>
            <w:hideMark/>
          </w:tcPr>
          <w:p w14:paraId="245106A7"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2.1</w:t>
            </w:r>
          </w:p>
        </w:tc>
        <w:tc>
          <w:tcPr>
            <w:tcW w:w="1235" w:type="pct"/>
            <w:tcBorders>
              <w:top w:val="nil"/>
              <w:left w:val="nil"/>
              <w:bottom w:val="single" w:sz="8" w:space="0" w:color="A6A6A6"/>
              <w:right w:val="single" w:sz="8" w:space="0" w:color="A6A6A6"/>
            </w:tcBorders>
            <w:shd w:val="clear" w:color="auto" w:fill="auto"/>
            <w:vAlign w:val="center"/>
            <w:hideMark/>
          </w:tcPr>
          <w:p w14:paraId="5378F27C"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Actualizar el sistema de PQRSD web para la creación, consulta y seguimiento de radicados.</w:t>
            </w:r>
          </w:p>
        </w:tc>
        <w:tc>
          <w:tcPr>
            <w:tcW w:w="871" w:type="pct"/>
            <w:tcBorders>
              <w:top w:val="nil"/>
              <w:left w:val="nil"/>
              <w:bottom w:val="single" w:sz="8" w:space="0" w:color="A6A6A6"/>
              <w:right w:val="single" w:sz="8" w:space="0" w:color="A6A6A6"/>
            </w:tcBorders>
            <w:shd w:val="clear" w:color="auto" w:fill="auto"/>
            <w:vAlign w:val="center"/>
            <w:hideMark/>
          </w:tcPr>
          <w:p w14:paraId="61FB5344"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Mejoras implementadas en el Sistema de PQRSD de la Corporación</w:t>
            </w:r>
          </w:p>
        </w:tc>
        <w:tc>
          <w:tcPr>
            <w:tcW w:w="1126" w:type="pct"/>
            <w:tcBorders>
              <w:top w:val="nil"/>
              <w:left w:val="nil"/>
              <w:bottom w:val="single" w:sz="8" w:space="0" w:color="A6A6A6"/>
              <w:right w:val="single" w:sz="8" w:space="0" w:color="A6A6A6"/>
            </w:tcBorders>
            <w:shd w:val="clear" w:color="auto" w:fill="auto"/>
            <w:vAlign w:val="center"/>
            <w:hideMark/>
          </w:tcPr>
          <w:p w14:paraId="01B637D7"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de cumplimiento de las actividades programadas en el Sistema de PQRSD de la Corporación</w:t>
            </w:r>
          </w:p>
        </w:tc>
        <w:tc>
          <w:tcPr>
            <w:tcW w:w="639" w:type="pct"/>
            <w:tcBorders>
              <w:top w:val="nil"/>
              <w:left w:val="nil"/>
              <w:bottom w:val="single" w:sz="8" w:space="0" w:color="A6A6A6"/>
              <w:right w:val="single" w:sz="8" w:space="0" w:color="A6A6A6"/>
            </w:tcBorders>
            <w:shd w:val="clear" w:color="auto" w:fill="auto"/>
            <w:vAlign w:val="center"/>
            <w:hideMark/>
          </w:tcPr>
          <w:p w14:paraId="4688E84E"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Secretaría General</w:t>
            </w:r>
          </w:p>
        </w:tc>
        <w:tc>
          <w:tcPr>
            <w:tcW w:w="421" w:type="pct"/>
            <w:tcBorders>
              <w:top w:val="nil"/>
              <w:left w:val="nil"/>
              <w:bottom w:val="single" w:sz="8" w:space="0" w:color="A6A6A6"/>
              <w:right w:val="single" w:sz="8" w:space="0" w:color="A6A6A6"/>
            </w:tcBorders>
            <w:shd w:val="clear" w:color="auto" w:fill="auto"/>
            <w:vAlign w:val="center"/>
            <w:hideMark/>
          </w:tcPr>
          <w:p w14:paraId="0D44D0D5"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30/11/2022</w:t>
            </w:r>
          </w:p>
        </w:tc>
      </w:tr>
      <w:tr w:rsidR="00B6144D" w:rsidRPr="00B6144D" w14:paraId="5908264E" w14:textId="77777777" w:rsidTr="00905318">
        <w:trPr>
          <w:trHeight w:val="585"/>
        </w:trPr>
        <w:tc>
          <w:tcPr>
            <w:tcW w:w="555" w:type="pct"/>
            <w:vMerge w:val="restart"/>
            <w:tcBorders>
              <w:top w:val="single" w:sz="8" w:space="0" w:color="A6A6A6"/>
              <w:left w:val="single" w:sz="8" w:space="0" w:color="A6A6A6"/>
              <w:bottom w:val="single" w:sz="8" w:space="0" w:color="A6A6A6"/>
              <w:right w:val="single" w:sz="8" w:space="0" w:color="A6A6A6"/>
            </w:tcBorders>
            <w:shd w:val="clear" w:color="D0CECE" w:fill="D9E1F2"/>
            <w:vAlign w:val="center"/>
            <w:hideMark/>
          </w:tcPr>
          <w:p w14:paraId="031AD17A"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lastRenderedPageBreak/>
              <w:t xml:space="preserve">Subcomponente 3 </w:t>
            </w:r>
            <w:r w:rsidRPr="00B6144D">
              <w:rPr>
                <w:rFonts w:asciiTheme="majorHAnsi" w:eastAsia="Times New Roman" w:hAnsiTheme="majorHAnsi" w:cstheme="majorHAnsi"/>
                <w:b w:val="0"/>
                <w:color w:val="000000"/>
                <w:sz w:val="20"/>
                <w:szCs w:val="20"/>
                <w:lang w:val="es-CO" w:eastAsia="es-CO"/>
              </w:rPr>
              <w:t xml:space="preserve">                                                                         Elaboración los Instrumentos de Gestión de la Información</w:t>
            </w:r>
          </w:p>
        </w:tc>
        <w:tc>
          <w:tcPr>
            <w:tcW w:w="154" w:type="pct"/>
            <w:tcBorders>
              <w:top w:val="single" w:sz="8" w:space="0" w:color="A6A6A6"/>
              <w:left w:val="nil"/>
              <w:bottom w:val="single" w:sz="8" w:space="0" w:color="A6A6A6"/>
              <w:right w:val="single" w:sz="8" w:space="0" w:color="A6A6A6"/>
            </w:tcBorders>
            <w:shd w:val="clear" w:color="auto" w:fill="auto"/>
            <w:vAlign w:val="center"/>
            <w:hideMark/>
          </w:tcPr>
          <w:p w14:paraId="36E2D744"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3.1</w:t>
            </w:r>
          </w:p>
        </w:tc>
        <w:tc>
          <w:tcPr>
            <w:tcW w:w="1235" w:type="pct"/>
            <w:tcBorders>
              <w:top w:val="single" w:sz="8" w:space="0" w:color="A6A6A6"/>
              <w:left w:val="nil"/>
              <w:bottom w:val="single" w:sz="8" w:space="0" w:color="A6A6A6"/>
              <w:right w:val="single" w:sz="8" w:space="0" w:color="A6A6A6"/>
            </w:tcBorders>
            <w:shd w:val="clear" w:color="auto" w:fill="auto"/>
            <w:vAlign w:val="center"/>
            <w:hideMark/>
          </w:tcPr>
          <w:p w14:paraId="37690A0C"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Actualizar el Registro de Activos de Información y  el Índice de Información Clasificada y Reservada</w:t>
            </w:r>
          </w:p>
        </w:tc>
        <w:tc>
          <w:tcPr>
            <w:tcW w:w="871" w:type="pct"/>
            <w:tcBorders>
              <w:top w:val="single" w:sz="8" w:space="0" w:color="A6A6A6"/>
              <w:left w:val="nil"/>
              <w:bottom w:val="single" w:sz="8" w:space="0" w:color="A6A6A6"/>
              <w:right w:val="single" w:sz="8" w:space="0" w:color="A6A6A6"/>
            </w:tcBorders>
            <w:shd w:val="clear" w:color="auto" w:fill="auto"/>
            <w:vAlign w:val="center"/>
            <w:hideMark/>
          </w:tcPr>
          <w:p w14:paraId="53B33DA2"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Actualización de Activos de Información y del Índice de Información Clasificada y Reservada</w:t>
            </w:r>
          </w:p>
        </w:tc>
        <w:tc>
          <w:tcPr>
            <w:tcW w:w="1126" w:type="pct"/>
            <w:tcBorders>
              <w:top w:val="single" w:sz="8" w:space="0" w:color="A6A6A6"/>
              <w:left w:val="nil"/>
              <w:bottom w:val="single" w:sz="8" w:space="0" w:color="A6A6A6"/>
              <w:right w:val="single" w:sz="8" w:space="0" w:color="A6A6A6"/>
            </w:tcBorders>
            <w:shd w:val="clear" w:color="FFFFFF" w:fill="FFFFFF"/>
            <w:vAlign w:val="center"/>
            <w:hideMark/>
          </w:tcPr>
          <w:p w14:paraId="1E505070"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Documento actualizado </w:t>
            </w:r>
          </w:p>
        </w:tc>
        <w:tc>
          <w:tcPr>
            <w:tcW w:w="639" w:type="pct"/>
            <w:tcBorders>
              <w:top w:val="single" w:sz="8" w:space="0" w:color="A6A6A6"/>
              <w:left w:val="nil"/>
              <w:bottom w:val="single" w:sz="8" w:space="0" w:color="A6A6A6"/>
              <w:right w:val="single" w:sz="8" w:space="0" w:color="A6A6A6"/>
            </w:tcBorders>
            <w:shd w:val="clear" w:color="FFFFFF" w:fill="FFFFFF"/>
            <w:vAlign w:val="center"/>
            <w:hideMark/>
          </w:tcPr>
          <w:p w14:paraId="0A2A9156"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Grupo de Gestión Documental </w:t>
            </w:r>
          </w:p>
        </w:tc>
        <w:tc>
          <w:tcPr>
            <w:tcW w:w="421" w:type="pct"/>
            <w:tcBorders>
              <w:top w:val="single" w:sz="8" w:space="0" w:color="A6A6A6"/>
              <w:left w:val="nil"/>
              <w:bottom w:val="single" w:sz="8" w:space="0" w:color="A6A6A6"/>
              <w:right w:val="single" w:sz="8" w:space="0" w:color="A6A6A6"/>
            </w:tcBorders>
            <w:shd w:val="clear" w:color="auto" w:fill="auto"/>
            <w:noWrap/>
            <w:vAlign w:val="center"/>
            <w:hideMark/>
          </w:tcPr>
          <w:p w14:paraId="1E165002"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31/08/2022</w:t>
            </w:r>
          </w:p>
        </w:tc>
      </w:tr>
      <w:tr w:rsidR="00B6144D" w:rsidRPr="00B6144D" w14:paraId="418243E5" w14:textId="77777777" w:rsidTr="00905318">
        <w:trPr>
          <w:trHeight w:val="870"/>
        </w:trPr>
        <w:tc>
          <w:tcPr>
            <w:tcW w:w="555" w:type="pct"/>
            <w:vMerge/>
            <w:tcBorders>
              <w:top w:val="single" w:sz="8" w:space="0" w:color="A6A6A6"/>
              <w:left w:val="single" w:sz="8" w:space="0" w:color="A6A6A6"/>
              <w:bottom w:val="single" w:sz="8" w:space="0" w:color="A6A6A6"/>
              <w:right w:val="single" w:sz="8" w:space="0" w:color="A6A6A6"/>
            </w:tcBorders>
            <w:vAlign w:val="center"/>
            <w:hideMark/>
          </w:tcPr>
          <w:p w14:paraId="28B2666A"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54" w:type="pct"/>
            <w:tcBorders>
              <w:top w:val="single" w:sz="8" w:space="0" w:color="A6A6A6"/>
              <w:left w:val="nil"/>
              <w:bottom w:val="single" w:sz="8" w:space="0" w:color="A6A6A6"/>
              <w:right w:val="single" w:sz="8" w:space="0" w:color="A6A6A6"/>
            </w:tcBorders>
            <w:shd w:val="clear" w:color="auto" w:fill="auto"/>
            <w:vAlign w:val="center"/>
            <w:hideMark/>
          </w:tcPr>
          <w:p w14:paraId="5F0FAF72"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3.2</w:t>
            </w:r>
          </w:p>
        </w:tc>
        <w:tc>
          <w:tcPr>
            <w:tcW w:w="1235" w:type="pct"/>
            <w:tcBorders>
              <w:top w:val="single" w:sz="8" w:space="0" w:color="A6A6A6"/>
              <w:left w:val="nil"/>
              <w:bottom w:val="single" w:sz="8" w:space="0" w:color="A6A6A6"/>
              <w:right w:val="single" w:sz="8" w:space="0" w:color="A6A6A6"/>
            </w:tcBorders>
            <w:shd w:val="clear" w:color="auto" w:fill="auto"/>
            <w:vAlign w:val="center"/>
            <w:hideMark/>
          </w:tcPr>
          <w:p w14:paraId="77CA986E"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Publicación y Divulgación del  Registro de Activos de Información y  el Índice de Información Clasificada y Reservada</w:t>
            </w:r>
          </w:p>
        </w:tc>
        <w:tc>
          <w:tcPr>
            <w:tcW w:w="871" w:type="pct"/>
            <w:tcBorders>
              <w:top w:val="single" w:sz="8" w:space="0" w:color="A6A6A6"/>
              <w:left w:val="nil"/>
              <w:bottom w:val="single" w:sz="8" w:space="0" w:color="A6A6A6"/>
              <w:right w:val="single" w:sz="8" w:space="0" w:color="A6A6A6"/>
            </w:tcBorders>
            <w:shd w:val="clear" w:color="auto" w:fill="auto"/>
            <w:vAlign w:val="center"/>
            <w:hideMark/>
          </w:tcPr>
          <w:p w14:paraId="3246A301"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Publicación y divulgación de la actualización de Activos de Información y del Índice de Información Clasificada y Reservada</w:t>
            </w:r>
          </w:p>
        </w:tc>
        <w:tc>
          <w:tcPr>
            <w:tcW w:w="1126" w:type="pct"/>
            <w:tcBorders>
              <w:top w:val="single" w:sz="8" w:space="0" w:color="A6A6A6"/>
              <w:left w:val="nil"/>
              <w:bottom w:val="single" w:sz="8" w:space="0" w:color="A6A6A6"/>
              <w:right w:val="single" w:sz="8" w:space="0" w:color="A6A6A6"/>
            </w:tcBorders>
            <w:shd w:val="clear" w:color="FFFFFF" w:fill="FFFFFF"/>
            <w:vAlign w:val="center"/>
            <w:hideMark/>
          </w:tcPr>
          <w:p w14:paraId="5AE83EB2"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Documento publicado en el portal web. </w:t>
            </w:r>
          </w:p>
        </w:tc>
        <w:tc>
          <w:tcPr>
            <w:tcW w:w="639" w:type="pct"/>
            <w:tcBorders>
              <w:top w:val="single" w:sz="8" w:space="0" w:color="A6A6A6"/>
              <w:left w:val="nil"/>
              <w:bottom w:val="single" w:sz="8" w:space="0" w:color="A6A6A6"/>
              <w:right w:val="single" w:sz="8" w:space="0" w:color="A6A6A6"/>
            </w:tcBorders>
            <w:shd w:val="clear" w:color="FFFFFF" w:fill="FFFFFF"/>
            <w:vAlign w:val="center"/>
            <w:hideMark/>
          </w:tcPr>
          <w:p w14:paraId="1ABA0AA2"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Oficina de Planeación</w:t>
            </w:r>
          </w:p>
        </w:tc>
        <w:tc>
          <w:tcPr>
            <w:tcW w:w="421" w:type="pct"/>
            <w:tcBorders>
              <w:top w:val="single" w:sz="8" w:space="0" w:color="A6A6A6"/>
              <w:left w:val="nil"/>
              <w:bottom w:val="single" w:sz="8" w:space="0" w:color="A6A6A6"/>
              <w:right w:val="single" w:sz="8" w:space="0" w:color="A6A6A6"/>
            </w:tcBorders>
            <w:shd w:val="clear" w:color="auto" w:fill="auto"/>
            <w:noWrap/>
            <w:vAlign w:val="center"/>
            <w:hideMark/>
          </w:tcPr>
          <w:p w14:paraId="6E36A5C4"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31/08/2022</w:t>
            </w:r>
          </w:p>
        </w:tc>
      </w:tr>
      <w:tr w:rsidR="00B6144D" w:rsidRPr="00B6144D" w14:paraId="3C652D98" w14:textId="77777777" w:rsidTr="00905318">
        <w:trPr>
          <w:trHeight w:val="585"/>
        </w:trPr>
        <w:tc>
          <w:tcPr>
            <w:tcW w:w="555" w:type="pct"/>
            <w:vMerge/>
            <w:tcBorders>
              <w:top w:val="single" w:sz="8" w:space="0" w:color="A6A6A6"/>
              <w:left w:val="single" w:sz="8" w:space="0" w:color="A6A6A6"/>
              <w:bottom w:val="single" w:sz="8" w:space="0" w:color="A6A6A6"/>
              <w:right w:val="single" w:sz="8" w:space="0" w:color="A6A6A6"/>
            </w:tcBorders>
            <w:vAlign w:val="center"/>
            <w:hideMark/>
          </w:tcPr>
          <w:p w14:paraId="3D736D0D"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54" w:type="pct"/>
            <w:tcBorders>
              <w:top w:val="single" w:sz="8" w:space="0" w:color="A6A6A6"/>
              <w:left w:val="nil"/>
              <w:bottom w:val="single" w:sz="8" w:space="0" w:color="A6A6A6"/>
              <w:right w:val="single" w:sz="8" w:space="0" w:color="A6A6A6"/>
            </w:tcBorders>
            <w:shd w:val="clear" w:color="auto" w:fill="auto"/>
            <w:vAlign w:val="center"/>
            <w:hideMark/>
          </w:tcPr>
          <w:p w14:paraId="102B62CB"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3.3</w:t>
            </w:r>
          </w:p>
        </w:tc>
        <w:tc>
          <w:tcPr>
            <w:tcW w:w="1235" w:type="pct"/>
            <w:tcBorders>
              <w:top w:val="single" w:sz="8" w:space="0" w:color="A6A6A6"/>
              <w:left w:val="nil"/>
              <w:bottom w:val="single" w:sz="8" w:space="0" w:color="A6A6A6"/>
              <w:right w:val="single" w:sz="8" w:space="0" w:color="A6A6A6"/>
            </w:tcBorders>
            <w:shd w:val="clear" w:color="auto" w:fill="auto"/>
            <w:vAlign w:val="center"/>
            <w:hideMark/>
          </w:tcPr>
          <w:p w14:paraId="6B79BBC4"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Actualizar y socializar el Esquema de Publicación de Información</w:t>
            </w:r>
          </w:p>
        </w:tc>
        <w:tc>
          <w:tcPr>
            <w:tcW w:w="871" w:type="pct"/>
            <w:tcBorders>
              <w:top w:val="single" w:sz="8" w:space="0" w:color="A6A6A6"/>
              <w:left w:val="nil"/>
              <w:bottom w:val="single" w:sz="8" w:space="0" w:color="A6A6A6"/>
              <w:right w:val="single" w:sz="8" w:space="0" w:color="A6A6A6"/>
            </w:tcBorders>
            <w:shd w:val="clear" w:color="auto" w:fill="auto"/>
            <w:vAlign w:val="center"/>
            <w:hideMark/>
          </w:tcPr>
          <w:p w14:paraId="38254CFC"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Actualización, publicación y divulgación del Esquema de Publicación de Información</w:t>
            </w:r>
          </w:p>
        </w:tc>
        <w:tc>
          <w:tcPr>
            <w:tcW w:w="1126" w:type="pct"/>
            <w:tcBorders>
              <w:top w:val="single" w:sz="8" w:space="0" w:color="A6A6A6"/>
              <w:left w:val="nil"/>
              <w:bottom w:val="single" w:sz="8" w:space="0" w:color="A6A6A6"/>
              <w:right w:val="single" w:sz="8" w:space="0" w:color="A6A6A6"/>
            </w:tcBorders>
            <w:shd w:val="clear" w:color="auto" w:fill="auto"/>
            <w:vAlign w:val="center"/>
            <w:hideMark/>
          </w:tcPr>
          <w:p w14:paraId="0A071FEA"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Documento actualizado y publicado en el portal web. Evidencias de la divulgación</w:t>
            </w:r>
          </w:p>
        </w:tc>
        <w:tc>
          <w:tcPr>
            <w:tcW w:w="639" w:type="pct"/>
            <w:tcBorders>
              <w:top w:val="single" w:sz="8" w:space="0" w:color="A6A6A6"/>
              <w:left w:val="nil"/>
              <w:bottom w:val="single" w:sz="8" w:space="0" w:color="A6A6A6"/>
              <w:right w:val="single" w:sz="8" w:space="0" w:color="A6A6A6"/>
            </w:tcBorders>
            <w:shd w:val="clear" w:color="auto" w:fill="auto"/>
            <w:vAlign w:val="center"/>
            <w:hideMark/>
          </w:tcPr>
          <w:p w14:paraId="4E60089B"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Oficina de  Planeación </w:t>
            </w:r>
          </w:p>
        </w:tc>
        <w:tc>
          <w:tcPr>
            <w:tcW w:w="421" w:type="pct"/>
            <w:tcBorders>
              <w:top w:val="single" w:sz="8" w:space="0" w:color="A6A6A6"/>
              <w:left w:val="nil"/>
              <w:bottom w:val="single" w:sz="8" w:space="0" w:color="A6A6A6"/>
              <w:right w:val="single" w:sz="8" w:space="0" w:color="A6A6A6"/>
            </w:tcBorders>
            <w:shd w:val="clear" w:color="auto" w:fill="auto"/>
            <w:noWrap/>
            <w:vAlign w:val="center"/>
            <w:hideMark/>
          </w:tcPr>
          <w:p w14:paraId="55370FC7"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31/08/2022</w:t>
            </w:r>
          </w:p>
        </w:tc>
      </w:tr>
      <w:tr w:rsidR="00B6144D" w:rsidRPr="00B6144D" w14:paraId="11641F29" w14:textId="77777777" w:rsidTr="00905318">
        <w:trPr>
          <w:trHeight w:val="945"/>
        </w:trPr>
        <w:tc>
          <w:tcPr>
            <w:tcW w:w="555" w:type="pct"/>
            <w:vMerge w:val="restart"/>
            <w:tcBorders>
              <w:top w:val="single" w:sz="8" w:space="0" w:color="A6A6A6"/>
              <w:left w:val="single" w:sz="8" w:space="0" w:color="A6A6A6"/>
              <w:bottom w:val="single" w:sz="8" w:space="0" w:color="A6A6A6"/>
              <w:right w:val="single" w:sz="8" w:space="0" w:color="A6A6A6"/>
            </w:tcBorders>
            <w:shd w:val="clear" w:color="D0CECE" w:fill="D9E1F2"/>
            <w:vAlign w:val="center"/>
            <w:hideMark/>
          </w:tcPr>
          <w:p w14:paraId="1092F411"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Subcomponente 4</w:t>
            </w:r>
            <w:r w:rsidRPr="00B6144D">
              <w:rPr>
                <w:rFonts w:asciiTheme="majorHAnsi" w:eastAsia="Times New Roman" w:hAnsiTheme="majorHAnsi" w:cstheme="majorHAnsi"/>
                <w:b w:val="0"/>
                <w:color w:val="000000"/>
                <w:sz w:val="20"/>
                <w:szCs w:val="20"/>
                <w:lang w:val="es-CO" w:eastAsia="es-CO"/>
              </w:rPr>
              <w:br/>
              <w:t>Criterio diferencial de accesibilidad</w:t>
            </w:r>
          </w:p>
        </w:tc>
        <w:tc>
          <w:tcPr>
            <w:tcW w:w="154" w:type="pct"/>
            <w:tcBorders>
              <w:top w:val="single" w:sz="8" w:space="0" w:color="A6A6A6"/>
              <w:left w:val="nil"/>
              <w:bottom w:val="single" w:sz="8" w:space="0" w:color="A6A6A6"/>
              <w:right w:val="single" w:sz="8" w:space="0" w:color="A6A6A6"/>
            </w:tcBorders>
            <w:shd w:val="clear" w:color="auto" w:fill="auto"/>
            <w:vAlign w:val="center"/>
            <w:hideMark/>
          </w:tcPr>
          <w:p w14:paraId="70A9ED77"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4.1</w:t>
            </w:r>
          </w:p>
        </w:tc>
        <w:tc>
          <w:tcPr>
            <w:tcW w:w="1235" w:type="pct"/>
            <w:tcBorders>
              <w:top w:val="single" w:sz="8" w:space="0" w:color="A6A6A6"/>
              <w:left w:val="nil"/>
              <w:bottom w:val="single" w:sz="8" w:space="0" w:color="A6A6A6"/>
              <w:right w:val="single" w:sz="8" w:space="0" w:color="A6A6A6"/>
            </w:tcBorders>
            <w:shd w:val="clear" w:color="auto" w:fill="auto"/>
            <w:vAlign w:val="center"/>
            <w:hideMark/>
          </w:tcPr>
          <w:p w14:paraId="4207DE66"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Realizar con criterios de accesibilidad las emisiones radiales, informes y planes 2022 publicados en la página web</w:t>
            </w:r>
          </w:p>
        </w:tc>
        <w:tc>
          <w:tcPr>
            <w:tcW w:w="871" w:type="pct"/>
            <w:tcBorders>
              <w:top w:val="single" w:sz="8" w:space="0" w:color="A6A6A6"/>
              <w:left w:val="nil"/>
              <w:bottom w:val="single" w:sz="8" w:space="0" w:color="A6A6A6"/>
              <w:right w:val="single" w:sz="8" w:space="0" w:color="A6A6A6"/>
            </w:tcBorders>
            <w:shd w:val="clear" w:color="auto" w:fill="auto"/>
            <w:vAlign w:val="center"/>
            <w:hideMark/>
          </w:tcPr>
          <w:p w14:paraId="42EBC5BF"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Publicación de texto alternativo en las emisiones radiales, informes y planes 2022 en la página web</w:t>
            </w:r>
          </w:p>
        </w:tc>
        <w:tc>
          <w:tcPr>
            <w:tcW w:w="1126" w:type="pct"/>
            <w:tcBorders>
              <w:top w:val="single" w:sz="8" w:space="0" w:color="A6A6A6"/>
              <w:left w:val="nil"/>
              <w:bottom w:val="single" w:sz="8" w:space="0" w:color="A6A6A6"/>
              <w:right w:val="single" w:sz="8" w:space="0" w:color="A6A6A6"/>
            </w:tcBorders>
            <w:shd w:val="clear" w:color="auto" w:fill="auto"/>
            <w:vAlign w:val="center"/>
            <w:hideMark/>
          </w:tcPr>
          <w:p w14:paraId="6A0E104B"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Emisiones radiales, informes y planes publicados en el portal web</w:t>
            </w:r>
          </w:p>
        </w:tc>
        <w:tc>
          <w:tcPr>
            <w:tcW w:w="639" w:type="pct"/>
            <w:tcBorders>
              <w:top w:val="single" w:sz="8" w:space="0" w:color="A6A6A6"/>
              <w:left w:val="nil"/>
              <w:bottom w:val="single" w:sz="8" w:space="0" w:color="A6A6A6"/>
              <w:right w:val="single" w:sz="8" w:space="0" w:color="A6A6A6"/>
            </w:tcBorders>
            <w:shd w:val="clear" w:color="auto" w:fill="auto"/>
            <w:vAlign w:val="center"/>
            <w:hideMark/>
          </w:tcPr>
          <w:p w14:paraId="3893FA44" w14:textId="77777777" w:rsidR="00B6144D" w:rsidRPr="00B6144D" w:rsidRDefault="00B6144D" w:rsidP="00B6144D">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Oficina de  Planeación - Dirección general -comunicaciones</w:t>
            </w:r>
          </w:p>
        </w:tc>
        <w:tc>
          <w:tcPr>
            <w:tcW w:w="421" w:type="pct"/>
            <w:tcBorders>
              <w:top w:val="single" w:sz="8" w:space="0" w:color="A6A6A6"/>
              <w:left w:val="nil"/>
              <w:bottom w:val="single" w:sz="8" w:space="0" w:color="A6A6A6"/>
              <w:right w:val="single" w:sz="8" w:space="0" w:color="A6A6A6"/>
            </w:tcBorders>
            <w:shd w:val="clear" w:color="auto" w:fill="auto"/>
            <w:noWrap/>
            <w:vAlign w:val="center"/>
            <w:hideMark/>
          </w:tcPr>
          <w:p w14:paraId="1FF4E78F"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r>
      <w:tr w:rsidR="00B6144D" w:rsidRPr="00B6144D" w14:paraId="2551A52C" w14:textId="77777777" w:rsidTr="00905318">
        <w:trPr>
          <w:trHeight w:val="870"/>
        </w:trPr>
        <w:tc>
          <w:tcPr>
            <w:tcW w:w="555" w:type="pct"/>
            <w:vMerge/>
            <w:tcBorders>
              <w:top w:val="single" w:sz="8" w:space="0" w:color="A6A6A6"/>
              <w:left w:val="single" w:sz="8" w:space="0" w:color="A6A6A6"/>
              <w:bottom w:val="single" w:sz="8" w:space="0" w:color="A6A6A6"/>
              <w:right w:val="single" w:sz="8" w:space="0" w:color="A6A6A6"/>
            </w:tcBorders>
            <w:vAlign w:val="center"/>
            <w:hideMark/>
          </w:tcPr>
          <w:p w14:paraId="490C22F0"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54" w:type="pct"/>
            <w:tcBorders>
              <w:top w:val="single" w:sz="8" w:space="0" w:color="A6A6A6"/>
              <w:left w:val="nil"/>
              <w:bottom w:val="single" w:sz="8" w:space="0" w:color="A6A6A6"/>
              <w:right w:val="single" w:sz="8" w:space="0" w:color="A6A6A6"/>
            </w:tcBorders>
            <w:shd w:val="clear" w:color="auto" w:fill="auto"/>
            <w:vAlign w:val="center"/>
            <w:hideMark/>
          </w:tcPr>
          <w:p w14:paraId="71A5301E"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 xml:space="preserve">4.2. </w:t>
            </w:r>
          </w:p>
        </w:tc>
        <w:tc>
          <w:tcPr>
            <w:tcW w:w="1235" w:type="pct"/>
            <w:tcBorders>
              <w:top w:val="single" w:sz="8" w:space="0" w:color="A6A6A6"/>
              <w:left w:val="nil"/>
              <w:bottom w:val="single" w:sz="8" w:space="0" w:color="A6A6A6"/>
              <w:right w:val="single" w:sz="8" w:space="0" w:color="A6A6A6"/>
            </w:tcBorders>
            <w:shd w:val="clear" w:color="FFFFFF" w:fill="FFFFFF"/>
            <w:vAlign w:val="center"/>
            <w:hideMark/>
          </w:tcPr>
          <w:p w14:paraId="6933F46B"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Socializar a funcionarios y contratistas los lineamientos de accesibilidad  requeridos en los documentos electrónicos que se producen en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p>
        </w:tc>
        <w:tc>
          <w:tcPr>
            <w:tcW w:w="871" w:type="pct"/>
            <w:tcBorders>
              <w:top w:val="single" w:sz="8" w:space="0" w:color="A6A6A6"/>
              <w:left w:val="nil"/>
              <w:bottom w:val="single" w:sz="8" w:space="0" w:color="A6A6A6"/>
              <w:right w:val="single" w:sz="8" w:space="0" w:color="A6A6A6"/>
            </w:tcBorders>
            <w:shd w:val="clear" w:color="FFFFFF" w:fill="FFFFFF"/>
            <w:vAlign w:val="center"/>
            <w:hideMark/>
          </w:tcPr>
          <w:p w14:paraId="0934A117"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1 Guía socializada</w:t>
            </w:r>
          </w:p>
        </w:tc>
        <w:tc>
          <w:tcPr>
            <w:tcW w:w="1126" w:type="pct"/>
            <w:tcBorders>
              <w:top w:val="single" w:sz="8" w:space="0" w:color="A6A6A6"/>
              <w:left w:val="nil"/>
              <w:bottom w:val="single" w:sz="8" w:space="0" w:color="A6A6A6"/>
              <w:right w:val="single" w:sz="8" w:space="0" w:color="A6A6A6"/>
            </w:tcBorders>
            <w:shd w:val="clear" w:color="FFFFFF" w:fill="FFFFFF"/>
            <w:vAlign w:val="center"/>
            <w:hideMark/>
          </w:tcPr>
          <w:p w14:paraId="43149844"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de funcionarios/contratistas socializados</w:t>
            </w:r>
          </w:p>
        </w:tc>
        <w:tc>
          <w:tcPr>
            <w:tcW w:w="639" w:type="pct"/>
            <w:tcBorders>
              <w:top w:val="single" w:sz="8" w:space="0" w:color="A6A6A6"/>
              <w:left w:val="nil"/>
              <w:bottom w:val="single" w:sz="8" w:space="0" w:color="A6A6A6"/>
              <w:right w:val="single" w:sz="8" w:space="0" w:color="A6A6A6"/>
            </w:tcBorders>
            <w:shd w:val="clear" w:color="FFFFFF" w:fill="FFFFFF"/>
            <w:vAlign w:val="center"/>
            <w:hideMark/>
          </w:tcPr>
          <w:p w14:paraId="0822494A"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Oficina de  Planeación</w:t>
            </w:r>
          </w:p>
        </w:tc>
        <w:tc>
          <w:tcPr>
            <w:tcW w:w="421" w:type="pct"/>
            <w:tcBorders>
              <w:top w:val="single" w:sz="8" w:space="0" w:color="A6A6A6"/>
              <w:left w:val="nil"/>
              <w:bottom w:val="single" w:sz="8" w:space="0" w:color="A6A6A6"/>
              <w:right w:val="single" w:sz="8" w:space="0" w:color="A6A6A6"/>
            </w:tcBorders>
            <w:shd w:val="clear" w:color="auto" w:fill="auto"/>
            <w:noWrap/>
            <w:vAlign w:val="center"/>
            <w:hideMark/>
          </w:tcPr>
          <w:p w14:paraId="26625488"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30/06/2022</w:t>
            </w:r>
          </w:p>
        </w:tc>
      </w:tr>
      <w:tr w:rsidR="00B6144D" w:rsidRPr="00B6144D" w14:paraId="628ECA95" w14:textId="77777777" w:rsidTr="00905318">
        <w:trPr>
          <w:trHeight w:val="585"/>
        </w:trPr>
        <w:tc>
          <w:tcPr>
            <w:tcW w:w="555" w:type="pct"/>
            <w:vMerge/>
            <w:tcBorders>
              <w:top w:val="single" w:sz="8" w:space="0" w:color="A6A6A6"/>
              <w:left w:val="single" w:sz="8" w:space="0" w:color="A6A6A6"/>
              <w:bottom w:val="single" w:sz="8" w:space="0" w:color="A6A6A6"/>
              <w:right w:val="single" w:sz="8" w:space="0" w:color="A6A6A6"/>
            </w:tcBorders>
            <w:vAlign w:val="center"/>
            <w:hideMark/>
          </w:tcPr>
          <w:p w14:paraId="483A5290"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54" w:type="pct"/>
            <w:tcBorders>
              <w:top w:val="single" w:sz="8" w:space="0" w:color="A6A6A6"/>
              <w:left w:val="nil"/>
              <w:bottom w:val="single" w:sz="8" w:space="0" w:color="A6A6A6"/>
              <w:right w:val="single" w:sz="8" w:space="0" w:color="A6A6A6"/>
            </w:tcBorders>
            <w:shd w:val="clear" w:color="auto" w:fill="auto"/>
            <w:vAlign w:val="center"/>
            <w:hideMark/>
          </w:tcPr>
          <w:p w14:paraId="007E4664"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 xml:space="preserve">4.3. </w:t>
            </w:r>
          </w:p>
        </w:tc>
        <w:tc>
          <w:tcPr>
            <w:tcW w:w="1235" w:type="pct"/>
            <w:tcBorders>
              <w:top w:val="single" w:sz="8" w:space="0" w:color="A6A6A6"/>
              <w:left w:val="nil"/>
              <w:bottom w:val="single" w:sz="8" w:space="0" w:color="A6A6A6"/>
              <w:right w:val="single" w:sz="8" w:space="0" w:color="A6A6A6"/>
            </w:tcBorders>
            <w:shd w:val="clear" w:color="FFFFFF" w:fill="FFFFFF"/>
            <w:vAlign w:val="center"/>
            <w:hideMark/>
          </w:tcPr>
          <w:p w14:paraId="075F2946"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Realizar actualización de la página web de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en cumplimiento del nivel AA de accesibilidad</w:t>
            </w:r>
          </w:p>
        </w:tc>
        <w:tc>
          <w:tcPr>
            <w:tcW w:w="871" w:type="pct"/>
            <w:tcBorders>
              <w:top w:val="single" w:sz="8" w:space="0" w:color="A6A6A6"/>
              <w:left w:val="nil"/>
              <w:bottom w:val="single" w:sz="8" w:space="0" w:color="A6A6A6"/>
              <w:right w:val="single" w:sz="8" w:space="0" w:color="A6A6A6"/>
            </w:tcBorders>
            <w:shd w:val="clear" w:color="FFFFFF" w:fill="FFFFFF"/>
            <w:vAlign w:val="center"/>
            <w:hideMark/>
          </w:tcPr>
          <w:p w14:paraId="68BF05B8"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Página web accesible a nivel AA</w:t>
            </w:r>
          </w:p>
        </w:tc>
        <w:tc>
          <w:tcPr>
            <w:tcW w:w="1126" w:type="pct"/>
            <w:tcBorders>
              <w:top w:val="single" w:sz="8" w:space="0" w:color="A6A6A6"/>
              <w:left w:val="nil"/>
              <w:bottom w:val="single" w:sz="8" w:space="0" w:color="A6A6A6"/>
              <w:right w:val="single" w:sz="8" w:space="0" w:color="A6A6A6"/>
            </w:tcBorders>
            <w:shd w:val="clear" w:color="FFFFFF" w:fill="FFFFFF"/>
            <w:vAlign w:val="center"/>
            <w:hideMark/>
          </w:tcPr>
          <w:p w14:paraId="034B5E65"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Nivel AA de Accesibilidad</w:t>
            </w:r>
          </w:p>
        </w:tc>
        <w:tc>
          <w:tcPr>
            <w:tcW w:w="639" w:type="pct"/>
            <w:tcBorders>
              <w:top w:val="single" w:sz="8" w:space="0" w:color="A6A6A6"/>
              <w:left w:val="nil"/>
              <w:bottom w:val="single" w:sz="8" w:space="0" w:color="A6A6A6"/>
              <w:right w:val="single" w:sz="8" w:space="0" w:color="A6A6A6"/>
            </w:tcBorders>
            <w:shd w:val="clear" w:color="FFFFFF" w:fill="FFFFFF"/>
            <w:vAlign w:val="center"/>
            <w:hideMark/>
          </w:tcPr>
          <w:p w14:paraId="7D70EBC1"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Oficina de  Planeación </w:t>
            </w:r>
          </w:p>
        </w:tc>
        <w:tc>
          <w:tcPr>
            <w:tcW w:w="421" w:type="pct"/>
            <w:tcBorders>
              <w:top w:val="single" w:sz="8" w:space="0" w:color="A6A6A6"/>
              <w:left w:val="nil"/>
              <w:bottom w:val="single" w:sz="8" w:space="0" w:color="A6A6A6"/>
              <w:right w:val="single" w:sz="8" w:space="0" w:color="A6A6A6"/>
            </w:tcBorders>
            <w:shd w:val="clear" w:color="auto" w:fill="auto"/>
            <w:noWrap/>
            <w:vAlign w:val="center"/>
            <w:hideMark/>
          </w:tcPr>
          <w:p w14:paraId="70114B9D"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r>
    </w:tbl>
    <w:p w14:paraId="138BDC55" w14:textId="79C1F031" w:rsidR="00B6144D" w:rsidRDefault="00B6144D"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20288CCD" w14:textId="4EAE57D5"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116C6B89" w14:textId="0766227E"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7445E654" w14:textId="38A22B50"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40646D36" w14:textId="67BE7F97"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1231AEEE" w14:textId="1710A998"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7546EA7B" w14:textId="3C9E6EB7"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250A2A0A" w14:textId="11FB8705"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797785EF" w14:textId="795A07B9"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0DE7459D" w14:textId="77777777" w:rsidR="00905318" w:rsidRDefault="00905318"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7A41E910" w14:textId="4D96F164" w:rsidR="00B6144D" w:rsidRDefault="00B6144D"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21CA7183" w14:textId="131191D6" w:rsidR="00043A3F" w:rsidRPr="007C545F" w:rsidRDefault="00043A3F" w:rsidP="00567FFA">
      <w:pPr>
        <w:spacing w:after="200"/>
        <w:rPr>
          <w:rFonts w:asciiTheme="majorHAnsi" w:hAnsiTheme="majorHAnsi" w:cstheme="majorHAnsi"/>
          <w:sz w:val="32"/>
          <w:szCs w:val="32"/>
        </w:rPr>
      </w:pPr>
      <w:r w:rsidRPr="007C545F">
        <w:rPr>
          <w:rFonts w:asciiTheme="majorHAnsi" w:hAnsiTheme="majorHAnsi" w:cstheme="majorHAnsi"/>
          <w:sz w:val="32"/>
          <w:szCs w:val="32"/>
        </w:rPr>
        <w:lastRenderedPageBreak/>
        <w:t xml:space="preserve">3.6. Iniciativas Adicionales </w:t>
      </w:r>
    </w:p>
    <w:p w14:paraId="6E716117" w14:textId="10BD95A2" w:rsidR="00043A3F" w:rsidRDefault="00043A3F" w:rsidP="00567FFA">
      <w:pPr>
        <w:autoSpaceDE w:val="0"/>
        <w:autoSpaceDN w:val="0"/>
        <w:adjustRightInd w:val="0"/>
        <w:spacing w:line="240" w:lineRule="auto"/>
        <w:ind w:right="1081"/>
        <w:jc w:val="both"/>
        <w:rPr>
          <w:rFonts w:asciiTheme="majorHAnsi" w:hAnsiTheme="majorHAnsi" w:cstheme="majorHAnsi"/>
          <w:color w:val="auto"/>
          <w:sz w:val="18"/>
          <w:szCs w:val="19"/>
        </w:rPr>
      </w:pPr>
      <w:r w:rsidRPr="008A2968">
        <w:rPr>
          <w:rFonts w:asciiTheme="majorHAnsi" w:hAnsiTheme="majorHAnsi" w:cstheme="majorHAnsi"/>
          <w:b w:val="0"/>
          <w:color w:val="auto"/>
          <w:sz w:val="24"/>
          <w:szCs w:val="28"/>
        </w:rPr>
        <w:t xml:space="preserve">Se refiere a las iniciativas particulares de la entidad que contribuyen a combatir y prevenir la corrupción. Se sugiere el Código de Integridad: Promoción de </w:t>
      </w:r>
      <w:r w:rsidRPr="008A2968">
        <w:rPr>
          <w:rFonts w:asciiTheme="majorHAnsi" w:hAnsiTheme="majorHAnsi" w:cstheme="majorHAnsi"/>
          <w:b w:val="0"/>
          <w:i/>
          <w:iCs/>
          <w:color w:val="auto"/>
          <w:sz w:val="24"/>
          <w:szCs w:val="28"/>
        </w:rPr>
        <w:t xml:space="preserve">“Acuerdos, compromisos y protocolos éticos,” </w:t>
      </w:r>
      <w:r w:rsidRPr="008A2968">
        <w:rPr>
          <w:rFonts w:asciiTheme="majorHAnsi" w:hAnsiTheme="majorHAnsi" w:cstheme="majorHAnsi"/>
          <w:b w:val="0"/>
          <w:color w:val="auto"/>
          <w:sz w:val="24"/>
          <w:szCs w:val="28"/>
        </w:rPr>
        <w:t>que sirvan para establecer parámetros de comportamiento en la actuación de los servidores públicos. Es importante que se incluyan lineamientos sobre la existencia de conflictos de intereses, canales de denuncia de hechos de corrupción, mecanismos para la protección al denunciante, unidades de reacción inmediata a la corrupción entre otras.</w:t>
      </w:r>
      <w:r w:rsidR="008C777D" w:rsidRPr="008A2968">
        <w:rPr>
          <w:rFonts w:asciiTheme="majorHAnsi" w:hAnsiTheme="majorHAnsi" w:cstheme="majorHAnsi"/>
          <w:color w:val="auto"/>
          <w:sz w:val="18"/>
          <w:szCs w:val="19"/>
        </w:rPr>
        <w:t xml:space="preserve"> </w:t>
      </w:r>
    </w:p>
    <w:p w14:paraId="54222C09" w14:textId="3E003A59" w:rsidR="00A5592E" w:rsidRDefault="00A5592E"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29CB4372" w14:textId="75E74174" w:rsidR="00A5592E" w:rsidRDefault="00A5592E" w:rsidP="00567FFA">
      <w:pPr>
        <w:autoSpaceDE w:val="0"/>
        <w:autoSpaceDN w:val="0"/>
        <w:adjustRightInd w:val="0"/>
        <w:spacing w:line="240" w:lineRule="auto"/>
        <w:ind w:right="1081"/>
        <w:jc w:val="both"/>
        <w:rPr>
          <w:rFonts w:asciiTheme="majorHAnsi" w:hAnsiTheme="majorHAnsi" w:cstheme="majorHAnsi"/>
          <w:color w:val="auto"/>
          <w:sz w:val="18"/>
          <w:szCs w:val="19"/>
        </w:rPr>
      </w:pPr>
    </w:p>
    <w:tbl>
      <w:tblPr>
        <w:tblW w:w="5000" w:type="pct"/>
        <w:tblCellMar>
          <w:left w:w="70" w:type="dxa"/>
          <w:right w:w="70" w:type="dxa"/>
        </w:tblCellMar>
        <w:tblLook w:val="04A0" w:firstRow="1" w:lastRow="0" w:firstColumn="1" w:lastColumn="0" w:noHBand="0" w:noVBand="1"/>
      </w:tblPr>
      <w:tblGrid>
        <w:gridCol w:w="1387"/>
        <w:gridCol w:w="1387"/>
        <w:gridCol w:w="1707"/>
        <w:gridCol w:w="1541"/>
        <w:gridCol w:w="419"/>
        <w:gridCol w:w="4335"/>
        <w:gridCol w:w="1886"/>
        <w:gridCol w:w="2726"/>
      </w:tblGrid>
      <w:tr w:rsidR="00A5592E" w:rsidRPr="00A5592E" w14:paraId="676AE413" w14:textId="77777777" w:rsidTr="00A5592E">
        <w:trPr>
          <w:trHeight w:val="540"/>
        </w:trPr>
        <w:tc>
          <w:tcPr>
            <w:tcW w:w="5000" w:type="pct"/>
            <w:gridSpan w:val="8"/>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673495FC" w14:textId="77777777" w:rsidR="00A5592E" w:rsidRPr="00A5592E" w:rsidRDefault="00A5592E" w:rsidP="00A5592E">
            <w:pPr>
              <w:spacing w:line="240" w:lineRule="auto"/>
              <w:jc w:val="center"/>
              <w:rPr>
                <w:rFonts w:asciiTheme="majorHAnsi" w:eastAsia="Times New Roman" w:hAnsiTheme="majorHAnsi" w:cstheme="majorHAnsi"/>
                <w:bCs/>
                <w:color w:val="auto"/>
                <w:sz w:val="20"/>
                <w:szCs w:val="20"/>
                <w:lang w:val="es-CO" w:eastAsia="es-CO"/>
              </w:rPr>
            </w:pPr>
            <w:r w:rsidRPr="00A5592E">
              <w:rPr>
                <w:rFonts w:asciiTheme="majorHAnsi" w:eastAsia="Times New Roman" w:hAnsiTheme="majorHAnsi" w:cstheme="majorHAnsi"/>
                <w:bCs/>
                <w:color w:val="auto"/>
                <w:sz w:val="20"/>
                <w:szCs w:val="20"/>
                <w:lang w:val="es-CO" w:eastAsia="es-CO"/>
              </w:rPr>
              <w:t>Componente 6: Iniciativas Adicionales</w:t>
            </w:r>
          </w:p>
        </w:tc>
      </w:tr>
      <w:tr w:rsidR="00A5592E" w:rsidRPr="00A5592E" w14:paraId="1B63645E" w14:textId="77777777" w:rsidTr="00A5592E">
        <w:trPr>
          <w:trHeight w:val="315"/>
        </w:trPr>
        <w:tc>
          <w:tcPr>
            <w:tcW w:w="490" w:type="pct"/>
            <w:tcBorders>
              <w:top w:val="nil"/>
              <w:left w:val="single" w:sz="4" w:space="0" w:color="808080"/>
              <w:bottom w:val="single" w:sz="4" w:space="0" w:color="808080"/>
              <w:right w:val="single" w:sz="4" w:space="0" w:color="808080"/>
            </w:tcBorders>
            <w:shd w:val="clear" w:color="000000" w:fill="F2F2F2"/>
            <w:noWrap/>
            <w:hideMark/>
          </w:tcPr>
          <w:p w14:paraId="0ABC8C97"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Componente</w:t>
            </w:r>
          </w:p>
        </w:tc>
        <w:tc>
          <w:tcPr>
            <w:tcW w:w="490" w:type="pct"/>
            <w:tcBorders>
              <w:top w:val="nil"/>
              <w:left w:val="nil"/>
              <w:bottom w:val="single" w:sz="4" w:space="0" w:color="808080"/>
              <w:right w:val="single" w:sz="4" w:space="0" w:color="808080"/>
            </w:tcBorders>
            <w:shd w:val="clear" w:color="000000" w:fill="F2F2F2"/>
            <w:noWrap/>
            <w:hideMark/>
          </w:tcPr>
          <w:p w14:paraId="7E6A2E9B"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Objetivo</w:t>
            </w:r>
          </w:p>
        </w:tc>
        <w:tc>
          <w:tcPr>
            <w:tcW w:w="419" w:type="pct"/>
            <w:tcBorders>
              <w:top w:val="nil"/>
              <w:left w:val="nil"/>
              <w:bottom w:val="single" w:sz="4" w:space="0" w:color="808080"/>
              <w:right w:val="single" w:sz="4" w:space="0" w:color="808080"/>
            </w:tcBorders>
            <w:shd w:val="clear" w:color="000000" w:fill="F2F2F2"/>
            <w:noWrap/>
            <w:hideMark/>
          </w:tcPr>
          <w:p w14:paraId="4A8AE186"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Subcomponente</w:t>
            </w:r>
          </w:p>
        </w:tc>
        <w:tc>
          <w:tcPr>
            <w:tcW w:w="457" w:type="pct"/>
            <w:tcBorders>
              <w:top w:val="nil"/>
              <w:left w:val="nil"/>
              <w:bottom w:val="single" w:sz="4" w:space="0" w:color="808080"/>
              <w:right w:val="single" w:sz="4" w:space="0" w:color="808080"/>
            </w:tcBorders>
            <w:shd w:val="clear" w:color="000000" w:fill="F2F2F2"/>
            <w:noWrap/>
            <w:hideMark/>
          </w:tcPr>
          <w:p w14:paraId="4CFABD34"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Categoría</w:t>
            </w:r>
          </w:p>
        </w:tc>
        <w:tc>
          <w:tcPr>
            <w:tcW w:w="1567" w:type="pct"/>
            <w:gridSpan w:val="2"/>
            <w:tcBorders>
              <w:top w:val="single" w:sz="4" w:space="0" w:color="808080"/>
              <w:left w:val="nil"/>
              <w:bottom w:val="single" w:sz="4" w:space="0" w:color="808080"/>
              <w:right w:val="single" w:sz="4" w:space="0" w:color="808080"/>
            </w:tcBorders>
            <w:shd w:val="clear" w:color="000000" w:fill="F2F2F2"/>
            <w:noWrap/>
            <w:hideMark/>
          </w:tcPr>
          <w:p w14:paraId="4A394078"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 xml:space="preserve">Actividades de Gestión </w:t>
            </w:r>
          </w:p>
        </w:tc>
        <w:tc>
          <w:tcPr>
            <w:tcW w:w="652" w:type="pct"/>
            <w:tcBorders>
              <w:top w:val="nil"/>
              <w:left w:val="nil"/>
              <w:bottom w:val="single" w:sz="4" w:space="0" w:color="808080"/>
              <w:right w:val="single" w:sz="4" w:space="0" w:color="808080"/>
            </w:tcBorders>
            <w:shd w:val="clear" w:color="000000" w:fill="F2F2F2"/>
            <w:noWrap/>
            <w:hideMark/>
          </w:tcPr>
          <w:p w14:paraId="116B0780"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Responsables</w:t>
            </w:r>
          </w:p>
        </w:tc>
        <w:tc>
          <w:tcPr>
            <w:tcW w:w="924" w:type="pct"/>
            <w:tcBorders>
              <w:top w:val="nil"/>
              <w:left w:val="nil"/>
              <w:bottom w:val="single" w:sz="4" w:space="0" w:color="808080"/>
              <w:right w:val="single" w:sz="4" w:space="0" w:color="808080"/>
            </w:tcBorders>
            <w:shd w:val="clear" w:color="000000" w:fill="F2F2F2"/>
            <w:noWrap/>
            <w:hideMark/>
          </w:tcPr>
          <w:p w14:paraId="520B6D0D"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Plazos</w:t>
            </w:r>
          </w:p>
        </w:tc>
      </w:tr>
      <w:tr w:rsidR="00A5592E" w:rsidRPr="00A5592E" w14:paraId="6D67A474" w14:textId="77777777" w:rsidTr="00A5592E">
        <w:trPr>
          <w:trHeight w:val="1545"/>
        </w:trPr>
        <w:tc>
          <w:tcPr>
            <w:tcW w:w="490"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4F0E190E"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Estrategia para la adopción del Código de Integridad y la promoción del cambio cultural</w:t>
            </w:r>
          </w:p>
        </w:tc>
        <w:tc>
          <w:tcPr>
            <w:tcW w:w="490" w:type="pct"/>
            <w:vMerge w:val="restart"/>
            <w:tcBorders>
              <w:top w:val="nil"/>
              <w:left w:val="single" w:sz="4" w:space="0" w:color="808080"/>
              <w:bottom w:val="nil"/>
              <w:right w:val="single" w:sz="4" w:space="0" w:color="808080"/>
            </w:tcBorders>
            <w:shd w:val="clear" w:color="000000" w:fill="D9E1F2"/>
            <w:vAlign w:val="center"/>
            <w:hideMark/>
          </w:tcPr>
          <w:p w14:paraId="6AE3FCAF" w14:textId="0BCBC68B"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 xml:space="preserve">Desarrollar iniciativas para fomentar la difusión y apropiación de valores y prácticas que garanticen la prioridad del interés general en el servicio público desde la perspectiva </w:t>
            </w:r>
            <w:r w:rsidRPr="00A5592E">
              <w:rPr>
                <w:rFonts w:asciiTheme="majorHAnsi" w:eastAsia="Times New Roman" w:hAnsiTheme="majorHAnsi" w:cstheme="majorHAnsi"/>
                <w:b w:val="0"/>
                <w:color w:val="000000"/>
                <w:sz w:val="20"/>
                <w:szCs w:val="20"/>
                <w:lang w:val="es-CO" w:eastAsia="es-CO"/>
              </w:rPr>
              <w:lastRenderedPageBreak/>
              <w:t>de procesos de cambio cultural permanentes.</w:t>
            </w:r>
          </w:p>
        </w:tc>
        <w:tc>
          <w:tcPr>
            <w:tcW w:w="419"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4761B42B"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lastRenderedPageBreak/>
              <w:t>Promoción del cambio cultural alrededor de los valores de integridad al interior de la entidad</w:t>
            </w:r>
          </w:p>
        </w:tc>
        <w:tc>
          <w:tcPr>
            <w:tcW w:w="457" w:type="pct"/>
            <w:tcBorders>
              <w:top w:val="nil"/>
              <w:left w:val="nil"/>
              <w:bottom w:val="single" w:sz="4" w:space="0" w:color="808080"/>
              <w:right w:val="single" w:sz="4" w:space="0" w:color="808080"/>
            </w:tcBorders>
            <w:shd w:val="clear" w:color="000000" w:fill="D9E1F2"/>
            <w:vAlign w:val="center"/>
            <w:hideMark/>
          </w:tcPr>
          <w:p w14:paraId="0A49B35C"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Diseño e implementación</w:t>
            </w:r>
          </w:p>
        </w:tc>
        <w:tc>
          <w:tcPr>
            <w:tcW w:w="119" w:type="pct"/>
            <w:tcBorders>
              <w:top w:val="nil"/>
              <w:left w:val="nil"/>
              <w:bottom w:val="single" w:sz="4" w:space="0" w:color="808080"/>
              <w:right w:val="single" w:sz="4" w:space="0" w:color="808080"/>
            </w:tcBorders>
            <w:shd w:val="clear" w:color="auto" w:fill="auto"/>
            <w:vAlign w:val="center"/>
            <w:hideMark/>
          </w:tcPr>
          <w:p w14:paraId="48728CD0"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1.1</w:t>
            </w:r>
          </w:p>
        </w:tc>
        <w:tc>
          <w:tcPr>
            <w:tcW w:w="1448" w:type="pct"/>
            <w:tcBorders>
              <w:top w:val="nil"/>
              <w:left w:val="nil"/>
              <w:bottom w:val="single" w:sz="4" w:space="0" w:color="808080"/>
              <w:right w:val="single" w:sz="4" w:space="0" w:color="808080"/>
            </w:tcBorders>
            <w:shd w:val="clear" w:color="auto" w:fill="auto"/>
            <w:hideMark/>
          </w:tcPr>
          <w:p w14:paraId="6D90F0D6"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Diseñar e implementar un plan de trabajo para fomentar la apropiación de los valores del Código de Integridad al interior de la entidad que involucre las cuatro acciones básicas para fomentar el cambio cultural (comprometer, ejemplificar, activar, fomentar).</w:t>
            </w:r>
          </w:p>
        </w:tc>
        <w:tc>
          <w:tcPr>
            <w:tcW w:w="652" w:type="pct"/>
            <w:tcBorders>
              <w:top w:val="nil"/>
              <w:left w:val="nil"/>
              <w:bottom w:val="single" w:sz="4" w:space="0" w:color="808080"/>
              <w:right w:val="single" w:sz="4" w:space="0" w:color="808080"/>
            </w:tcBorders>
            <w:shd w:val="clear" w:color="auto" w:fill="auto"/>
            <w:hideMark/>
          </w:tcPr>
          <w:p w14:paraId="6C742372"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Gestión del Talento Humano</w:t>
            </w:r>
          </w:p>
        </w:tc>
        <w:tc>
          <w:tcPr>
            <w:tcW w:w="924" w:type="pct"/>
            <w:tcBorders>
              <w:top w:val="nil"/>
              <w:left w:val="nil"/>
              <w:bottom w:val="single" w:sz="4" w:space="0" w:color="808080"/>
              <w:right w:val="single" w:sz="4" w:space="0" w:color="808080"/>
            </w:tcBorders>
            <w:shd w:val="clear" w:color="auto" w:fill="auto"/>
            <w:noWrap/>
            <w:vAlign w:val="center"/>
            <w:hideMark/>
          </w:tcPr>
          <w:p w14:paraId="3E80C739"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28 de febrero 2022</w:t>
            </w:r>
          </w:p>
        </w:tc>
      </w:tr>
      <w:tr w:rsidR="00A5592E" w:rsidRPr="00A5592E" w14:paraId="650B4F85" w14:textId="77777777" w:rsidTr="00A5592E">
        <w:trPr>
          <w:trHeight w:val="1740"/>
        </w:trPr>
        <w:tc>
          <w:tcPr>
            <w:tcW w:w="490" w:type="pct"/>
            <w:vMerge/>
            <w:tcBorders>
              <w:top w:val="nil"/>
              <w:left w:val="single" w:sz="4" w:space="0" w:color="808080"/>
              <w:bottom w:val="single" w:sz="4" w:space="0" w:color="808080"/>
              <w:right w:val="single" w:sz="4" w:space="0" w:color="808080"/>
            </w:tcBorders>
            <w:vAlign w:val="center"/>
            <w:hideMark/>
          </w:tcPr>
          <w:p w14:paraId="3C1CF2AC"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0" w:type="pct"/>
            <w:vMerge/>
            <w:tcBorders>
              <w:top w:val="nil"/>
              <w:left w:val="single" w:sz="4" w:space="0" w:color="808080"/>
              <w:bottom w:val="nil"/>
              <w:right w:val="single" w:sz="4" w:space="0" w:color="808080"/>
            </w:tcBorders>
            <w:vAlign w:val="center"/>
            <w:hideMark/>
          </w:tcPr>
          <w:p w14:paraId="3D968621"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19" w:type="pct"/>
            <w:vMerge/>
            <w:tcBorders>
              <w:top w:val="nil"/>
              <w:left w:val="single" w:sz="4" w:space="0" w:color="808080"/>
              <w:bottom w:val="single" w:sz="4" w:space="0" w:color="808080"/>
              <w:right w:val="single" w:sz="4" w:space="0" w:color="808080"/>
            </w:tcBorders>
            <w:vAlign w:val="center"/>
            <w:hideMark/>
          </w:tcPr>
          <w:p w14:paraId="52A46B11"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57" w:type="pct"/>
            <w:tcBorders>
              <w:top w:val="nil"/>
              <w:left w:val="nil"/>
              <w:bottom w:val="single" w:sz="4" w:space="0" w:color="808080"/>
              <w:right w:val="single" w:sz="4" w:space="0" w:color="808080"/>
            </w:tcBorders>
            <w:shd w:val="clear" w:color="000000" w:fill="D9E1F2"/>
            <w:vAlign w:val="center"/>
            <w:hideMark/>
          </w:tcPr>
          <w:p w14:paraId="08AC452B" w14:textId="499A96A9"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Seguimiento y evaluación</w:t>
            </w:r>
          </w:p>
        </w:tc>
        <w:tc>
          <w:tcPr>
            <w:tcW w:w="119" w:type="pct"/>
            <w:tcBorders>
              <w:top w:val="nil"/>
              <w:left w:val="nil"/>
              <w:bottom w:val="single" w:sz="4" w:space="0" w:color="808080"/>
              <w:right w:val="single" w:sz="4" w:space="0" w:color="808080"/>
            </w:tcBorders>
            <w:shd w:val="clear" w:color="auto" w:fill="auto"/>
            <w:vAlign w:val="center"/>
            <w:hideMark/>
          </w:tcPr>
          <w:p w14:paraId="53E63BDE"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1.2</w:t>
            </w:r>
          </w:p>
        </w:tc>
        <w:tc>
          <w:tcPr>
            <w:tcW w:w="1448" w:type="pct"/>
            <w:tcBorders>
              <w:top w:val="nil"/>
              <w:left w:val="nil"/>
              <w:bottom w:val="single" w:sz="4" w:space="0" w:color="808080"/>
              <w:right w:val="single" w:sz="4" w:space="0" w:color="808080"/>
            </w:tcBorders>
            <w:shd w:val="clear" w:color="auto" w:fill="auto"/>
            <w:vAlign w:val="center"/>
            <w:hideMark/>
          </w:tcPr>
          <w:p w14:paraId="429384CC"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Adelantar un ejercicio de seguimiento al diagnóstico anual de  apropiación de los valores de integridad  identificando los cambios en los resultados del FURAG, y los cambios en las percepciones de los colaboradores de la entidad y resultado de la encuesta de satisfacción</w:t>
            </w:r>
          </w:p>
        </w:tc>
        <w:tc>
          <w:tcPr>
            <w:tcW w:w="652" w:type="pct"/>
            <w:tcBorders>
              <w:top w:val="nil"/>
              <w:left w:val="nil"/>
              <w:bottom w:val="single" w:sz="4" w:space="0" w:color="808080"/>
              <w:right w:val="single" w:sz="4" w:space="0" w:color="808080"/>
            </w:tcBorders>
            <w:shd w:val="clear" w:color="auto" w:fill="auto"/>
            <w:hideMark/>
          </w:tcPr>
          <w:p w14:paraId="305A5516"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Gestión del Talento Humano</w:t>
            </w:r>
          </w:p>
        </w:tc>
        <w:tc>
          <w:tcPr>
            <w:tcW w:w="924" w:type="pct"/>
            <w:tcBorders>
              <w:top w:val="nil"/>
              <w:left w:val="nil"/>
              <w:bottom w:val="single" w:sz="4" w:space="0" w:color="808080"/>
              <w:right w:val="single" w:sz="4" w:space="0" w:color="808080"/>
            </w:tcBorders>
            <w:shd w:val="clear" w:color="auto" w:fill="auto"/>
            <w:vAlign w:val="center"/>
            <w:hideMark/>
          </w:tcPr>
          <w:p w14:paraId="147EF1B4"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diciembre de 2022</w:t>
            </w:r>
          </w:p>
        </w:tc>
      </w:tr>
      <w:tr w:rsidR="00A5592E" w:rsidRPr="00A5592E" w14:paraId="27F76893" w14:textId="77777777" w:rsidTr="00A5592E">
        <w:trPr>
          <w:trHeight w:val="1590"/>
        </w:trPr>
        <w:tc>
          <w:tcPr>
            <w:tcW w:w="490" w:type="pct"/>
            <w:vMerge/>
            <w:tcBorders>
              <w:top w:val="nil"/>
              <w:left w:val="single" w:sz="4" w:space="0" w:color="808080"/>
              <w:bottom w:val="single" w:sz="4" w:space="0" w:color="808080"/>
              <w:right w:val="single" w:sz="4" w:space="0" w:color="808080"/>
            </w:tcBorders>
            <w:vAlign w:val="center"/>
            <w:hideMark/>
          </w:tcPr>
          <w:p w14:paraId="7DF685F1"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0" w:type="pct"/>
            <w:vMerge/>
            <w:tcBorders>
              <w:top w:val="nil"/>
              <w:left w:val="single" w:sz="4" w:space="0" w:color="808080"/>
              <w:bottom w:val="nil"/>
              <w:right w:val="single" w:sz="4" w:space="0" w:color="808080"/>
            </w:tcBorders>
            <w:vAlign w:val="center"/>
            <w:hideMark/>
          </w:tcPr>
          <w:p w14:paraId="757D6C94"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19" w:type="pct"/>
            <w:vMerge/>
            <w:tcBorders>
              <w:top w:val="nil"/>
              <w:left w:val="single" w:sz="4" w:space="0" w:color="808080"/>
              <w:bottom w:val="single" w:sz="4" w:space="0" w:color="808080"/>
              <w:right w:val="single" w:sz="4" w:space="0" w:color="808080"/>
            </w:tcBorders>
            <w:vAlign w:val="center"/>
            <w:hideMark/>
          </w:tcPr>
          <w:p w14:paraId="67BB57AF"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57" w:type="pct"/>
            <w:tcBorders>
              <w:top w:val="nil"/>
              <w:left w:val="nil"/>
              <w:bottom w:val="single" w:sz="4" w:space="0" w:color="808080"/>
              <w:right w:val="single" w:sz="4" w:space="0" w:color="808080"/>
            </w:tcBorders>
            <w:shd w:val="clear" w:color="000000" w:fill="D9E1F2"/>
            <w:vAlign w:val="center"/>
            <w:hideMark/>
          </w:tcPr>
          <w:p w14:paraId="191FC066" w14:textId="7D5AB96E"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Gestión del conocimiento</w:t>
            </w:r>
          </w:p>
        </w:tc>
        <w:tc>
          <w:tcPr>
            <w:tcW w:w="119" w:type="pct"/>
            <w:tcBorders>
              <w:top w:val="nil"/>
              <w:left w:val="nil"/>
              <w:bottom w:val="single" w:sz="4" w:space="0" w:color="808080"/>
              <w:right w:val="single" w:sz="4" w:space="0" w:color="808080"/>
            </w:tcBorders>
            <w:shd w:val="clear" w:color="auto" w:fill="auto"/>
            <w:vAlign w:val="center"/>
            <w:hideMark/>
          </w:tcPr>
          <w:p w14:paraId="7224CB24"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1.3</w:t>
            </w:r>
          </w:p>
        </w:tc>
        <w:tc>
          <w:tcPr>
            <w:tcW w:w="1448" w:type="pct"/>
            <w:tcBorders>
              <w:top w:val="nil"/>
              <w:left w:val="nil"/>
              <w:bottom w:val="single" w:sz="4" w:space="0" w:color="808080"/>
              <w:right w:val="single" w:sz="4" w:space="0" w:color="808080"/>
            </w:tcBorders>
            <w:shd w:val="clear" w:color="auto" w:fill="auto"/>
            <w:vAlign w:val="center"/>
            <w:hideMark/>
          </w:tcPr>
          <w:p w14:paraId="089205DD"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Diseñar e implementar una estrategia de identificación y registro de las lecciones aprendidas para fortalecer el cambio cultural al interior de la entidad y su aplicación a futuro para mejorar el diseño de estrategias posteriores.</w:t>
            </w:r>
          </w:p>
        </w:tc>
        <w:tc>
          <w:tcPr>
            <w:tcW w:w="652" w:type="pct"/>
            <w:tcBorders>
              <w:top w:val="nil"/>
              <w:left w:val="nil"/>
              <w:bottom w:val="single" w:sz="4" w:space="0" w:color="808080"/>
              <w:right w:val="single" w:sz="4" w:space="0" w:color="808080"/>
            </w:tcBorders>
            <w:shd w:val="clear" w:color="auto" w:fill="auto"/>
            <w:hideMark/>
          </w:tcPr>
          <w:p w14:paraId="64F7A468"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Gestión del Talento Humano</w:t>
            </w:r>
          </w:p>
        </w:tc>
        <w:tc>
          <w:tcPr>
            <w:tcW w:w="924" w:type="pct"/>
            <w:tcBorders>
              <w:top w:val="nil"/>
              <w:left w:val="nil"/>
              <w:bottom w:val="single" w:sz="4" w:space="0" w:color="808080"/>
              <w:right w:val="single" w:sz="4" w:space="0" w:color="808080"/>
            </w:tcBorders>
            <w:shd w:val="clear" w:color="auto" w:fill="auto"/>
            <w:noWrap/>
            <w:vAlign w:val="center"/>
            <w:hideMark/>
          </w:tcPr>
          <w:p w14:paraId="0B6B21AC"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diciembre de 2022</w:t>
            </w:r>
          </w:p>
        </w:tc>
      </w:tr>
      <w:tr w:rsidR="00A5592E" w:rsidRPr="00A5592E" w14:paraId="56CE1F83" w14:textId="77777777" w:rsidTr="00A5592E">
        <w:trPr>
          <w:trHeight w:val="1020"/>
        </w:trPr>
        <w:tc>
          <w:tcPr>
            <w:tcW w:w="490" w:type="pct"/>
            <w:vMerge/>
            <w:tcBorders>
              <w:top w:val="nil"/>
              <w:left w:val="single" w:sz="4" w:space="0" w:color="808080"/>
              <w:bottom w:val="single" w:sz="4" w:space="0" w:color="808080"/>
              <w:right w:val="single" w:sz="4" w:space="0" w:color="808080"/>
            </w:tcBorders>
            <w:vAlign w:val="center"/>
            <w:hideMark/>
          </w:tcPr>
          <w:p w14:paraId="5973A5DE"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0" w:type="pct"/>
            <w:vMerge/>
            <w:tcBorders>
              <w:top w:val="nil"/>
              <w:left w:val="single" w:sz="4" w:space="0" w:color="808080"/>
              <w:bottom w:val="nil"/>
              <w:right w:val="single" w:sz="4" w:space="0" w:color="808080"/>
            </w:tcBorders>
            <w:vAlign w:val="center"/>
            <w:hideMark/>
          </w:tcPr>
          <w:p w14:paraId="44AF2704"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19" w:type="pct"/>
            <w:vMerge w:val="restart"/>
            <w:tcBorders>
              <w:top w:val="nil"/>
              <w:left w:val="single" w:sz="4" w:space="0" w:color="808080"/>
              <w:bottom w:val="single" w:sz="4" w:space="0" w:color="808080"/>
              <w:right w:val="single" w:sz="4" w:space="0" w:color="808080"/>
            </w:tcBorders>
            <w:shd w:val="clear" w:color="000000" w:fill="D9E1F2"/>
            <w:noWrap/>
            <w:vAlign w:val="center"/>
            <w:hideMark/>
          </w:tcPr>
          <w:p w14:paraId="0E78977A"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 xml:space="preserve">Pedagogía </w:t>
            </w:r>
          </w:p>
        </w:tc>
        <w:tc>
          <w:tcPr>
            <w:tcW w:w="457"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4357E0B0"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Sensibilización y capacitación</w:t>
            </w:r>
          </w:p>
        </w:tc>
        <w:tc>
          <w:tcPr>
            <w:tcW w:w="119" w:type="pct"/>
            <w:tcBorders>
              <w:top w:val="nil"/>
              <w:left w:val="nil"/>
              <w:bottom w:val="single" w:sz="4" w:space="0" w:color="808080"/>
              <w:right w:val="single" w:sz="4" w:space="0" w:color="808080"/>
            </w:tcBorders>
            <w:shd w:val="clear" w:color="auto" w:fill="auto"/>
            <w:vAlign w:val="center"/>
            <w:hideMark/>
          </w:tcPr>
          <w:p w14:paraId="1D5390B6"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2.1</w:t>
            </w:r>
          </w:p>
        </w:tc>
        <w:tc>
          <w:tcPr>
            <w:tcW w:w="1448" w:type="pct"/>
            <w:tcBorders>
              <w:top w:val="nil"/>
              <w:left w:val="nil"/>
              <w:bottom w:val="single" w:sz="4" w:space="0" w:color="808080"/>
              <w:right w:val="single" w:sz="4" w:space="0" w:color="808080"/>
            </w:tcBorders>
            <w:shd w:val="clear" w:color="auto" w:fill="auto"/>
            <w:hideMark/>
          </w:tcPr>
          <w:p w14:paraId="29E3689D"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Realizar actividades comunicativas (por diferentes medios)  de sensibilización relacionadas con los temas de integridad.</w:t>
            </w:r>
          </w:p>
        </w:tc>
        <w:tc>
          <w:tcPr>
            <w:tcW w:w="652" w:type="pct"/>
            <w:tcBorders>
              <w:top w:val="nil"/>
              <w:left w:val="nil"/>
              <w:bottom w:val="single" w:sz="4" w:space="0" w:color="808080"/>
              <w:right w:val="single" w:sz="4" w:space="0" w:color="808080"/>
            </w:tcBorders>
            <w:shd w:val="clear" w:color="auto" w:fill="auto"/>
            <w:hideMark/>
          </w:tcPr>
          <w:p w14:paraId="1431285A"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Gestión del Talento Humano</w:t>
            </w:r>
          </w:p>
        </w:tc>
        <w:tc>
          <w:tcPr>
            <w:tcW w:w="924" w:type="pct"/>
            <w:tcBorders>
              <w:top w:val="nil"/>
              <w:left w:val="nil"/>
              <w:bottom w:val="single" w:sz="4" w:space="0" w:color="808080"/>
              <w:right w:val="single" w:sz="4" w:space="0" w:color="808080"/>
            </w:tcBorders>
            <w:shd w:val="clear" w:color="auto" w:fill="auto"/>
            <w:vAlign w:val="center"/>
            <w:hideMark/>
          </w:tcPr>
          <w:p w14:paraId="3CE5CBF4"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De acuerdo al plan de trabajo</w:t>
            </w:r>
          </w:p>
        </w:tc>
      </w:tr>
      <w:tr w:rsidR="00A5592E" w:rsidRPr="00A5592E" w14:paraId="11541C9A" w14:textId="77777777" w:rsidTr="00A5592E">
        <w:trPr>
          <w:trHeight w:val="1560"/>
        </w:trPr>
        <w:tc>
          <w:tcPr>
            <w:tcW w:w="490" w:type="pct"/>
            <w:vMerge/>
            <w:tcBorders>
              <w:top w:val="nil"/>
              <w:left w:val="single" w:sz="4" w:space="0" w:color="808080"/>
              <w:bottom w:val="single" w:sz="4" w:space="0" w:color="808080"/>
              <w:right w:val="single" w:sz="4" w:space="0" w:color="808080"/>
            </w:tcBorders>
            <w:vAlign w:val="center"/>
            <w:hideMark/>
          </w:tcPr>
          <w:p w14:paraId="3C9BD68E"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0" w:type="pct"/>
            <w:vMerge/>
            <w:tcBorders>
              <w:top w:val="nil"/>
              <w:left w:val="single" w:sz="4" w:space="0" w:color="808080"/>
              <w:bottom w:val="nil"/>
              <w:right w:val="single" w:sz="4" w:space="0" w:color="808080"/>
            </w:tcBorders>
            <w:vAlign w:val="center"/>
            <w:hideMark/>
          </w:tcPr>
          <w:p w14:paraId="4182E9FD"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19" w:type="pct"/>
            <w:vMerge/>
            <w:tcBorders>
              <w:top w:val="nil"/>
              <w:left w:val="single" w:sz="4" w:space="0" w:color="808080"/>
              <w:bottom w:val="single" w:sz="4" w:space="0" w:color="808080"/>
              <w:right w:val="single" w:sz="4" w:space="0" w:color="808080"/>
            </w:tcBorders>
            <w:vAlign w:val="center"/>
            <w:hideMark/>
          </w:tcPr>
          <w:p w14:paraId="56577809"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57" w:type="pct"/>
            <w:vMerge/>
            <w:tcBorders>
              <w:top w:val="nil"/>
              <w:left w:val="single" w:sz="4" w:space="0" w:color="808080"/>
              <w:bottom w:val="single" w:sz="4" w:space="0" w:color="808080"/>
              <w:right w:val="single" w:sz="4" w:space="0" w:color="808080"/>
            </w:tcBorders>
            <w:vAlign w:val="center"/>
            <w:hideMark/>
          </w:tcPr>
          <w:p w14:paraId="74A4C509"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119" w:type="pct"/>
            <w:tcBorders>
              <w:top w:val="nil"/>
              <w:left w:val="nil"/>
              <w:bottom w:val="single" w:sz="4" w:space="0" w:color="808080"/>
              <w:right w:val="single" w:sz="4" w:space="0" w:color="808080"/>
            </w:tcBorders>
            <w:shd w:val="clear" w:color="auto" w:fill="auto"/>
            <w:vAlign w:val="center"/>
            <w:hideMark/>
          </w:tcPr>
          <w:p w14:paraId="7027ED51"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2.2</w:t>
            </w:r>
          </w:p>
        </w:tc>
        <w:tc>
          <w:tcPr>
            <w:tcW w:w="1448" w:type="pct"/>
            <w:tcBorders>
              <w:top w:val="nil"/>
              <w:left w:val="nil"/>
              <w:bottom w:val="single" w:sz="4" w:space="0" w:color="808080"/>
              <w:right w:val="single" w:sz="4" w:space="0" w:color="808080"/>
            </w:tcBorders>
            <w:shd w:val="clear" w:color="auto" w:fill="auto"/>
            <w:vAlign w:val="center"/>
            <w:hideMark/>
          </w:tcPr>
          <w:p w14:paraId="46C830CA"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Gestionar la vinculación a los funcionarios y contratistas de la entidad al curso de integridad, transparencia y lucha contra la corrupción establecido por Función Pública para dar cumplimiento a la Ley 2016 de 2020.(Incluir en el plan de trabajo)</w:t>
            </w:r>
          </w:p>
        </w:tc>
        <w:tc>
          <w:tcPr>
            <w:tcW w:w="652" w:type="pct"/>
            <w:tcBorders>
              <w:top w:val="nil"/>
              <w:left w:val="nil"/>
              <w:bottom w:val="single" w:sz="4" w:space="0" w:color="808080"/>
              <w:right w:val="single" w:sz="4" w:space="0" w:color="808080"/>
            </w:tcBorders>
            <w:shd w:val="clear" w:color="auto" w:fill="auto"/>
            <w:hideMark/>
          </w:tcPr>
          <w:p w14:paraId="090492AC"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Gestión del Talento Humano</w:t>
            </w:r>
          </w:p>
        </w:tc>
        <w:tc>
          <w:tcPr>
            <w:tcW w:w="924" w:type="pct"/>
            <w:tcBorders>
              <w:top w:val="nil"/>
              <w:left w:val="nil"/>
              <w:bottom w:val="single" w:sz="4" w:space="0" w:color="808080"/>
              <w:right w:val="single" w:sz="4" w:space="0" w:color="808080"/>
            </w:tcBorders>
            <w:shd w:val="clear" w:color="auto" w:fill="auto"/>
            <w:noWrap/>
            <w:vAlign w:val="center"/>
            <w:hideMark/>
          </w:tcPr>
          <w:p w14:paraId="0F7B896F"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de diciembre de 2022</w:t>
            </w:r>
          </w:p>
        </w:tc>
      </w:tr>
      <w:tr w:rsidR="00A5592E" w:rsidRPr="00A5592E" w14:paraId="56434E42" w14:textId="77777777" w:rsidTr="00A5592E">
        <w:trPr>
          <w:trHeight w:val="1530"/>
        </w:trPr>
        <w:tc>
          <w:tcPr>
            <w:tcW w:w="490" w:type="pct"/>
            <w:vMerge/>
            <w:tcBorders>
              <w:top w:val="nil"/>
              <w:left w:val="single" w:sz="4" w:space="0" w:color="808080"/>
              <w:bottom w:val="single" w:sz="4" w:space="0" w:color="808080"/>
              <w:right w:val="single" w:sz="4" w:space="0" w:color="808080"/>
            </w:tcBorders>
            <w:vAlign w:val="center"/>
            <w:hideMark/>
          </w:tcPr>
          <w:p w14:paraId="62D9F90A"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0" w:type="pct"/>
            <w:vMerge/>
            <w:tcBorders>
              <w:top w:val="nil"/>
              <w:left w:val="single" w:sz="4" w:space="0" w:color="808080"/>
              <w:bottom w:val="nil"/>
              <w:right w:val="single" w:sz="4" w:space="0" w:color="808080"/>
            </w:tcBorders>
            <w:vAlign w:val="center"/>
            <w:hideMark/>
          </w:tcPr>
          <w:p w14:paraId="5F33DE35"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19"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63E06E78"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Articulación con actores clave o grupos de valor</w:t>
            </w:r>
          </w:p>
        </w:tc>
        <w:tc>
          <w:tcPr>
            <w:tcW w:w="457"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33FADBEB"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Articulación con actores clave o grupos de valor</w:t>
            </w:r>
          </w:p>
        </w:tc>
        <w:tc>
          <w:tcPr>
            <w:tcW w:w="119" w:type="pct"/>
            <w:tcBorders>
              <w:top w:val="nil"/>
              <w:left w:val="nil"/>
              <w:bottom w:val="single" w:sz="4" w:space="0" w:color="808080"/>
              <w:right w:val="single" w:sz="4" w:space="0" w:color="808080"/>
            </w:tcBorders>
            <w:shd w:val="clear" w:color="auto" w:fill="auto"/>
            <w:vAlign w:val="center"/>
            <w:hideMark/>
          </w:tcPr>
          <w:p w14:paraId="39D3968C"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3.1</w:t>
            </w:r>
          </w:p>
        </w:tc>
        <w:tc>
          <w:tcPr>
            <w:tcW w:w="1448" w:type="pct"/>
            <w:tcBorders>
              <w:top w:val="nil"/>
              <w:left w:val="nil"/>
              <w:bottom w:val="single" w:sz="4" w:space="0" w:color="808080"/>
              <w:right w:val="single" w:sz="4" w:space="0" w:color="808080"/>
            </w:tcBorders>
            <w:shd w:val="clear" w:color="auto" w:fill="auto"/>
            <w:vAlign w:val="center"/>
            <w:hideMark/>
          </w:tcPr>
          <w:p w14:paraId="054339FA"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Adelantar ejercicios de socialización de la normatividad y horizonte estratégico de la gestión preventiva de conflictos de interés con la ciudadanía y el sector privado.</w:t>
            </w:r>
          </w:p>
        </w:tc>
        <w:tc>
          <w:tcPr>
            <w:tcW w:w="652" w:type="pct"/>
            <w:tcBorders>
              <w:top w:val="nil"/>
              <w:left w:val="nil"/>
              <w:bottom w:val="single" w:sz="4" w:space="0" w:color="808080"/>
              <w:right w:val="single" w:sz="4" w:space="0" w:color="808080"/>
            </w:tcBorders>
            <w:shd w:val="clear" w:color="auto" w:fill="auto"/>
            <w:vAlign w:val="center"/>
            <w:hideMark/>
          </w:tcPr>
          <w:p w14:paraId="7F13D960" w14:textId="77777777" w:rsidR="00A5592E" w:rsidRPr="00A5592E" w:rsidRDefault="00A5592E" w:rsidP="00A5592E">
            <w:pPr>
              <w:spacing w:line="240" w:lineRule="auto"/>
              <w:rPr>
                <w:rFonts w:asciiTheme="majorHAnsi" w:eastAsia="Times New Roman" w:hAnsiTheme="majorHAnsi" w:cstheme="majorHAnsi"/>
                <w:b w:val="0"/>
                <w:color w:val="auto"/>
                <w:sz w:val="20"/>
                <w:szCs w:val="20"/>
                <w:lang w:val="es-CO" w:eastAsia="es-CO"/>
              </w:rPr>
            </w:pPr>
            <w:r w:rsidRPr="00A5592E">
              <w:rPr>
                <w:rFonts w:asciiTheme="majorHAnsi" w:eastAsia="Times New Roman" w:hAnsiTheme="majorHAnsi" w:cstheme="majorHAnsi"/>
                <w:b w:val="0"/>
                <w:color w:val="auto"/>
                <w:sz w:val="20"/>
                <w:szCs w:val="20"/>
                <w:lang w:val="es-CO" w:eastAsia="es-CO"/>
              </w:rPr>
              <w:t>Gestión del Talento Humano/ Gestión jurídica /comunicaciones</w:t>
            </w:r>
          </w:p>
        </w:tc>
        <w:tc>
          <w:tcPr>
            <w:tcW w:w="924" w:type="pct"/>
            <w:tcBorders>
              <w:top w:val="nil"/>
              <w:left w:val="nil"/>
              <w:bottom w:val="single" w:sz="4" w:space="0" w:color="808080"/>
              <w:right w:val="single" w:sz="4" w:space="0" w:color="808080"/>
            </w:tcBorders>
            <w:shd w:val="clear" w:color="auto" w:fill="auto"/>
            <w:noWrap/>
            <w:vAlign w:val="center"/>
            <w:hideMark/>
          </w:tcPr>
          <w:p w14:paraId="37872280"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de noviembre de 2022</w:t>
            </w:r>
          </w:p>
        </w:tc>
      </w:tr>
      <w:tr w:rsidR="00A5592E" w:rsidRPr="00A5592E" w14:paraId="62C6F4CE" w14:textId="77777777" w:rsidTr="00A5592E">
        <w:trPr>
          <w:trHeight w:val="1140"/>
        </w:trPr>
        <w:tc>
          <w:tcPr>
            <w:tcW w:w="490" w:type="pct"/>
            <w:vMerge/>
            <w:tcBorders>
              <w:top w:val="nil"/>
              <w:left w:val="single" w:sz="4" w:space="0" w:color="808080"/>
              <w:bottom w:val="single" w:sz="4" w:space="0" w:color="808080"/>
              <w:right w:val="single" w:sz="4" w:space="0" w:color="808080"/>
            </w:tcBorders>
            <w:vAlign w:val="center"/>
            <w:hideMark/>
          </w:tcPr>
          <w:p w14:paraId="6F1E17EF"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0" w:type="pct"/>
            <w:vMerge/>
            <w:tcBorders>
              <w:top w:val="nil"/>
              <w:left w:val="single" w:sz="4" w:space="0" w:color="808080"/>
              <w:bottom w:val="single" w:sz="4" w:space="0" w:color="808080"/>
              <w:right w:val="single" w:sz="4" w:space="0" w:color="808080"/>
            </w:tcBorders>
            <w:vAlign w:val="center"/>
            <w:hideMark/>
          </w:tcPr>
          <w:p w14:paraId="7089237B"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19" w:type="pct"/>
            <w:vMerge/>
            <w:tcBorders>
              <w:top w:val="nil"/>
              <w:left w:val="single" w:sz="4" w:space="0" w:color="808080"/>
              <w:bottom w:val="single" w:sz="4" w:space="0" w:color="808080"/>
              <w:right w:val="single" w:sz="4" w:space="0" w:color="808080"/>
            </w:tcBorders>
            <w:vAlign w:val="center"/>
            <w:hideMark/>
          </w:tcPr>
          <w:p w14:paraId="58232908"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57" w:type="pct"/>
            <w:vMerge/>
            <w:tcBorders>
              <w:top w:val="nil"/>
              <w:left w:val="single" w:sz="4" w:space="0" w:color="808080"/>
              <w:bottom w:val="single" w:sz="4" w:space="0" w:color="808080"/>
              <w:right w:val="single" w:sz="4" w:space="0" w:color="808080"/>
            </w:tcBorders>
            <w:vAlign w:val="center"/>
            <w:hideMark/>
          </w:tcPr>
          <w:p w14:paraId="57EA01C7"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119" w:type="pct"/>
            <w:tcBorders>
              <w:top w:val="nil"/>
              <w:left w:val="nil"/>
              <w:bottom w:val="single" w:sz="4" w:space="0" w:color="808080"/>
              <w:right w:val="single" w:sz="4" w:space="0" w:color="808080"/>
            </w:tcBorders>
            <w:shd w:val="clear" w:color="auto" w:fill="auto"/>
            <w:vAlign w:val="center"/>
            <w:hideMark/>
          </w:tcPr>
          <w:p w14:paraId="47532262"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3.2</w:t>
            </w:r>
          </w:p>
        </w:tc>
        <w:tc>
          <w:tcPr>
            <w:tcW w:w="1448" w:type="pct"/>
            <w:tcBorders>
              <w:top w:val="nil"/>
              <w:left w:val="nil"/>
              <w:bottom w:val="single" w:sz="4" w:space="0" w:color="808080"/>
              <w:right w:val="single" w:sz="4" w:space="0" w:color="808080"/>
            </w:tcBorders>
            <w:shd w:val="clear" w:color="auto" w:fill="auto"/>
            <w:vAlign w:val="center"/>
            <w:hideMark/>
          </w:tcPr>
          <w:p w14:paraId="5B5AE370"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Adelantar escenarios de diálogo para profundizar en conceptos, perspectivas y herramientas de promoción de la integridad pública</w:t>
            </w:r>
          </w:p>
        </w:tc>
        <w:tc>
          <w:tcPr>
            <w:tcW w:w="652" w:type="pct"/>
            <w:tcBorders>
              <w:top w:val="nil"/>
              <w:left w:val="nil"/>
              <w:bottom w:val="single" w:sz="4" w:space="0" w:color="808080"/>
              <w:right w:val="single" w:sz="4" w:space="0" w:color="808080"/>
            </w:tcBorders>
            <w:shd w:val="clear" w:color="auto" w:fill="auto"/>
            <w:vAlign w:val="center"/>
            <w:hideMark/>
          </w:tcPr>
          <w:p w14:paraId="48D437B9" w14:textId="77777777" w:rsidR="00A5592E" w:rsidRPr="00A5592E" w:rsidRDefault="00A5592E" w:rsidP="00A5592E">
            <w:pPr>
              <w:spacing w:line="240" w:lineRule="auto"/>
              <w:rPr>
                <w:rFonts w:asciiTheme="majorHAnsi" w:eastAsia="Times New Roman" w:hAnsiTheme="majorHAnsi" w:cstheme="majorHAnsi"/>
                <w:b w:val="0"/>
                <w:color w:val="auto"/>
                <w:sz w:val="20"/>
                <w:szCs w:val="20"/>
                <w:lang w:val="es-CO" w:eastAsia="es-CO"/>
              </w:rPr>
            </w:pPr>
            <w:r w:rsidRPr="00A5592E">
              <w:rPr>
                <w:rFonts w:asciiTheme="majorHAnsi" w:eastAsia="Times New Roman" w:hAnsiTheme="majorHAnsi" w:cstheme="majorHAnsi"/>
                <w:b w:val="0"/>
                <w:color w:val="auto"/>
                <w:sz w:val="20"/>
                <w:szCs w:val="20"/>
                <w:lang w:val="es-CO" w:eastAsia="es-CO"/>
              </w:rPr>
              <w:t>Gestión del Talento Humano/ Planeación/ Gestión jurídica /comunicaciones</w:t>
            </w:r>
          </w:p>
        </w:tc>
        <w:tc>
          <w:tcPr>
            <w:tcW w:w="924" w:type="pct"/>
            <w:tcBorders>
              <w:top w:val="nil"/>
              <w:left w:val="nil"/>
              <w:bottom w:val="single" w:sz="4" w:space="0" w:color="808080"/>
              <w:right w:val="single" w:sz="4" w:space="0" w:color="808080"/>
            </w:tcBorders>
            <w:shd w:val="clear" w:color="auto" w:fill="auto"/>
            <w:noWrap/>
            <w:vAlign w:val="center"/>
            <w:hideMark/>
          </w:tcPr>
          <w:p w14:paraId="106A8D9A"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de noviembre de 2022</w:t>
            </w:r>
          </w:p>
        </w:tc>
      </w:tr>
    </w:tbl>
    <w:p w14:paraId="43C70590" w14:textId="452D3A0E" w:rsidR="00A5592E" w:rsidRDefault="00A5592E"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731915A2" w14:textId="77777777" w:rsidR="00A5592E" w:rsidRPr="008A2968" w:rsidRDefault="00A5592E"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0EA69988" w14:textId="77777777" w:rsidR="00567FFA" w:rsidRDefault="00567FFA" w:rsidP="00567FFA">
      <w:pPr>
        <w:autoSpaceDE w:val="0"/>
        <w:autoSpaceDN w:val="0"/>
        <w:adjustRightInd w:val="0"/>
        <w:spacing w:line="240" w:lineRule="auto"/>
        <w:ind w:right="1081"/>
        <w:jc w:val="both"/>
        <w:rPr>
          <w:rFonts w:ascii="FuturaStd-Light" w:hAnsi="FuturaStd-Light" w:cs="FuturaStd-Light"/>
          <w:sz w:val="19"/>
          <w:szCs w:val="19"/>
        </w:rPr>
      </w:pPr>
    </w:p>
    <w:p w14:paraId="3E9BACAD" w14:textId="77777777" w:rsidR="00567FFA" w:rsidRDefault="00567FFA" w:rsidP="00567FFA">
      <w:pPr>
        <w:autoSpaceDE w:val="0"/>
        <w:autoSpaceDN w:val="0"/>
        <w:adjustRightInd w:val="0"/>
        <w:spacing w:line="240" w:lineRule="auto"/>
        <w:ind w:right="1081"/>
        <w:jc w:val="both"/>
        <w:rPr>
          <w:rFonts w:ascii="FuturaStd-Light" w:hAnsi="FuturaStd-Light" w:cs="FuturaStd-Light"/>
          <w:sz w:val="19"/>
          <w:szCs w:val="19"/>
        </w:rPr>
      </w:pPr>
    </w:p>
    <w:tbl>
      <w:tblPr>
        <w:tblW w:w="5000" w:type="pct"/>
        <w:tblCellMar>
          <w:left w:w="70" w:type="dxa"/>
          <w:right w:w="70" w:type="dxa"/>
        </w:tblCellMar>
        <w:tblLook w:val="04A0" w:firstRow="1" w:lastRow="0" w:firstColumn="1" w:lastColumn="0" w:noHBand="0" w:noVBand="1"/>
      </w:tblPr>
      <w:tblGrid>
        <w:gridCol w:w="1400"/>
        <w:gridCol w:w="1400"/>
        <w:gridCol w:w="1707"/>
        <w:gridCol w:w="1497"/>
        <w:gridCol w:w="419"/>
        <w:gridCol w:w="4313"/>
        <w:gridCol w:w="1906"/>
        <w:gridCol w:w="2746"/>
      </w:tblGrid>
      <w:tr w:rsidR="00A5592E" w:rsidRPr="00A5592E" w14:paraId="6F67BE65" w14:textId="77777777" w:rsidTr="00A5592E">
        <w:trPr>
          <w:trHeight w:val="540"/>
        </w:trPr>
        <w:tc>
          <w:tcPr>
            <w:tcW w:w="5000" w:type="pct"/>
            <w:gridSpan w:val="8"/>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319D0223" w14:textId="77777777" w:rsidR="00A5592E" w:rsidRPr="00A5592E" w:rsidRDefault="00A5592E" w:rsidP="00A5592E">
            <w:pPr>
              <w:spacing w:line="240" w:lineRule="auto"/>
              <w:jc w:val="center"/>
              <w:rPr>
                <w:rFonts w:asciiTheme="majorHAnsi" w:eastAsia="Times New Roman" w:hAnsiTheme="majorHAnsi" w:cstheme="majorHAnsi"/>
                <w:bCs/>
                <w:color w:val="auto"/>
                <w:sz w:val="20"/>
                <w:szCs w:val="20"/>
                <w:lang w:val="es-CO" w:eastAsia="es-CO"/>
              </w:rPr>
            </w:pPr>
            <w:r w:rsidRPr="00A5592E">
              <w:rPr>
                <w:rFonts w:asciiTheme="majorHAnsi" w:eastAsia="Times New Roman" w:hAnsiTheme="majorHAnsi" w:cstheme="majorHAnsi"/>
                <w:bCs/>
                <w:color w:val="auto"/>
                <w:sz w:val="20"/>
                <w:szCs w:val="20"/>
                <w:lang w:val="es-CO" w:eastAsia="es-CO"/>
              </w:rPr>
              <w:lastRenderedPageBreak/>
              <w:t>Componente 6: Iniciativas Adicionales</w:t>
            </w:r>
          </w:p>
        </w:tc>
      </w:tr>
      <w:tr w:rsidR="00A5592E" w:rsidRPr="00A5592E" w14:paraId="2DDA628B" w14:textId="77777777" w:rsidTr="00A5592E">
        <w:trPr>
          <w:trHeight w:val="315"/>
        </w:trPr>
        <w:tc>
          <w:tcPr>
            <w:tcW w:w="494" w:type="pct"/>
            <w:tcBorders>
              <w:top w:val="nil"/>
              <w:left w:val="single" w:sz="4" w:space="0" w:color="808080"/>
              <w:bottom w:val="single" w:sz="4" w:space="0" w:color="808080"/>
              <w:right w:val="single" w:sz="4" w:space="0" w:color="808080"/>
            </w:tcBorders>
            <w:shd w:val="clear" w:color="000000" w:fill="F2F2F2"/>
            <w:noWrap/>
            <w:hideMark/>
          </w:tcPr>
          <w:p w14:paraId="7A00260B"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Componente</w:t>
            </w:r>
          </w:p>
        </w:tc>
        <w:tc>
          <w:tcPr>
            <w:tcW w:w="494" w:type="pct"/>
            <w:tcBorders>
              <w:top w:val="nil"/>
              <w:left w:val="nil"/>
              <w:bottom w:val="single" w:sz="4" w:space="0" w:color="808080"/>
              <w:right w:val="single" w:sz="4" w:space="0" w:color="808080"/>
            </w:tcBorders>
            <w:shd w:val="clear" w:color="000000" w:fill="F2F2F2"/>
            <w:noWrap/>
            <w:hideMark/>
          </w:tcPr>
          <w:p w14:paraId="72C06FDA"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Objetivo</w:t>
            </w:r>
          </w:p>
        </w:tc>
        <w:tc>
          <w:tcPr>
            <w:tcW w:w="422" w:type="pct"/>
            <w:tcBorders>
              <w:top w:val="nil"/>
              <w:left w:val="nil"/>
              <w:bottom w:val="single" w:sz="4" w:space="0" w:color="808080"/>
              <w:right w:val="single" w:sz="4" w:space="0" w:color="808080"/>
            </w:tcBorders>
            <w:shd w:val="clear" w:color="000000" w:fill="F2F2F2"/>
            <w:noWrap/>
            <w:hideMark/>
          </w:tcPr>
          <w:p w14:paraId="5B8FE1C6"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Subcomponente</w:t>
            </w:r>
          </w:p>
        </w:tc>
        <w:tc>
          <w:tcPr>
            <w:tcW w:w="461" w:type="pct"/>
            <w:tcBorders>
              <w:top w:val="nil"/>
              <w:left w:val="nil"/>
              <w:bottom w:val="single" w:sz="4" w:space="0" w:color="808080"/>
              <w:right w:val="single" w:sz="4" w:space="0" w:color="808080"/>
            </w:tcBorders>
            <w:shd w:val="clear" w:color="000000" w:fill="F2F2F2"/>
            <w:noWrap/>
            <w:hideMark/>
          </w:tcPr>
          <w:p w14:paraId="39D55234"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Categoría</w:t>
            </w:r>
          </w:p>
        </w:tc>
        <w:tc>
          <w:tcPr>
            <w:tcW w:w="1540" w:type="pct"/>
            <w:gridSpan w:val="2"/>
            <w:tcBorders>
              <w:top w:val="single" w:sz="4" w:space="0" w:color="808080"/>
              <w:left w:val="nil"/>
              <w:bottom w:val="single" w:sz="4" w:space="0" w:color="808080"/>
              <w:right w:val="single" w:sz="4" w:space="0" w:color="808080"/>
            </w:tcBorders>
            <w:shd w:val="clear" w:color="000000" w:fill="F2F2F2"/>
            <w:noWrap/>
            <w:hideMark/>
          </w:tcPr>
          <w:p w14:paraId="47BF7699"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 xml:space="preserve">Actividades de Gestión </w:t>
            </w:r>
          </w:p>
        </w:tc>
        <w:tc>
          <w:tcPr>
            <w:tcW w:w="658" w:type="pct"/>
            <w:tcBorders>
              <w:top w:val="nil"/>
              <w:left w:val="nil"/>
              <w:bottom w:val="single" w:sz="4" w:space="0" w:color="808080"/>
              <w:right w:val="single" w:sz="4" w:space="0" w:color="808080"/>
            </w:tcBorders>
            <w:shd w:val="clear" w:color="000000" w:fill="F2F2F2"/>
            <w:noWrap/>
            <w:hideMark/>
          </w:tcPr>
          <w:p w14:paraId="1735A007"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Responsables</w:t>
            </w:r>
          </w:p>
        </w:tc>
        <w:tc>
          <w:tcPr>
            <w:tcW w:w="931" w:type="pct"/>
            <w:tcBorders>
              <w:top w:val="nil"/>
              <w:left w:val="nil"/>
              <w:bottom w:val="single" w:sz="4" w:space="0" w:color="808080"/>
              <w:right w:val="single" w:sz="4" w:space="0" w:color="808080"/>
            </w:tcBorders>
            <w:shd w:val="clear" w:color="000000" w:fill="F2F2F2"/>
            <w:noWrap/>
            <w:hideMark/>
          </w:tcPr>
          <w:p w14:paraId="7F48FB37"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Plazos</w:t>
            </w:r>
          </w:p>
        </w:tc>
      </w:tr>
      <w:tr w:rsidR="00A5592E" w:rsidRPr="00A5592E" w14:paraId="059C5732" w14:textId="77777777" w:rsidTr="00A5592E">
        <w:trPr>
          <w:trHeight w:val="1635"/>
        </w:trPr>
        <w:tc>
          <w:tcPr>
            <w:tcW w:w="494" w:type="pct"/>
            <w:vMerge w:val="restart"/>
            <w:tcBorders>
              <w:top w:val="single" w:sz="4" w:space="0" w:color="808080"/>
              <w:left w:val="single" w:sz="4" w:space="0" w:color="808080"/>
              <w:bottom w:val="single" w:sz="4" w:space="0" w:color="808080"/>
              <w:right w:val="single" w:sz="4" w:space="0" w:color="808080"/>
            </w:tcBorders>
            <w:shd w:val="clear" w:color="000000" w:fill="D9E1F2"/>
            <w:vAlign w:val="center"/>
            <w:hideMark/>
          </w:tcPr>
          <w:p w14:paraId="2E034830"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Estrategia para la gestión de Conflicto de Intereses</w:t>
            </w:r>
          </w:p>
        </w:tc>
        <w:tc>
          <w:tcPr>
            <w:tcW w:w="494" w:type="pct"/>
            <w:vMerge w:val="restart"/>
            <w:tcBorders>
              <w:top w:val="single" w:sz="4" w:space="0" w:color="808080"/>
              <w:left w:val="single" w:sz="4" w:space="0" w:color="808080"/>
              <w:bottom w:val="single" w:sz="4" w:space="0" w:color="808080"/>
              <w:right w:val="single" w:sz="4" w:space="0" w:color="808080"/>
            </w:tcBorders>
            <w:shd w:val="clear" w:color="000000" w:fill="D9E1F2"/>
            <w:vAlign w:val="center"/>
            <w:hideMark/>
          </w:tcPr>
          <w:p w14:paraId="4EF51D2C"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Desarrollar mecanismos para prevenir y controlar la aparición de conflictos de intereses en la entidad con el objeto de evitar la afectación del servicio y el interés general.</w:t>
            </w:r>
          </w:p>
        </w:tc>
        <w:tc>
          <w:tcPr>
            <w:tcW w:w="422" w:type="pct"/>
            <w:tcBorders>
              <w:top w:val="single" w:sz="4" w:space="0" w:color="808080"/>
              <w:left w:val="nil"/>
              <w:bottom w:val="nil"/>
              <w:right w:val="single" w:sz="4" w:space="0" w:color="808080"/>
            </w:tcBorders>
            <w:shd w:val="clear" w:color="000000" w:fill="D9E1F2"/>
            <w:vAlign w:val="center"/>
            <w:hideMark/>
          </w:tcPr>
          <w:p w14:paraId="2C6D029E"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Planeación</w:t>
            </w:r>
          </w:p>
        </w:tc>
        <w:tc>
          <w:tcPr>
            <w:tcW w:w="461" w:type="pct"/>
            <w:tcBorders>
              <w:top w:val="single" w:sz="4" w:space="0" w:color="808080"/>
              <w:left w:val="nil"/>
              <w:bottom w:val="nil"/>
              <w:right w:val="single" w:sz="4" w:space="0" w:color="808080"/>
            </w:tcBorders>
            <w:shd w:val="clear" w:color="000000" w:fill="D9E1F2"/>
            <w:vAlign w:val="center"/>
            <w:hideMark/>
          </w:tcPr>
          <w:p w14:paraId="6D0A34DF"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Diseño de la estrategia para la gestión de conflictos de intereses</w:t>
            </w:r>
          </w:p>
        </w:tc>
        <w:tc>
          <w:tcPr>
            <w:tcW w:w="100" w:type="pct"/>
            <w:tcBorders>
              <w:top w:val="single" w:sz="4" w:space="0" w:color="808080"/>
              <w:left w:val="nil"/>
              <w:bottom w:val="single" w:sz="4" w:space="0" w:color="808080"/>
              <w:right w:val="single" w:sz="4" w:space="0" w:color="808080"/>
            </w:tcBorders>
            <w:shd w:val="clear" w:color="auto" w:fill="auto"/>
            <w:noWrap/>
            <w:vAlign w:val="center"/>
            <w:hideMark/>
          </w:tcPr>
          <w:p w14:paraId="3B9B482C"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4.1</w:t>
            </w:r>
          </w:p>
        </w:tc>
        <w:tc>
          <w:tcPr>
            <w:tcW w:w="1440" w:type="pct"/>
            <w:tcBorders>
              <w:top w:val="single" w:sz="4" w:space="0" w:color="808080"/>
              <w:left w:val="nil"/>
              <w:bottom w:val="single" w:sz="4" w:space="0" w:color="808080"/>
              <w:right w:val="single" w:sz="4" w:space="0" w:color="808080"/>
            </w:tcBorders>
            <w:shd w:val="clear" w:color="auto" w:fill="auto"/>
            <w:vAlign w:val="center"/>
            <w:hideMark/>
          </w:tcPr>
          <w:p w14:paraId="4F2C8EE2"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Incorporar a la Gestión de Riesgos - Mapas de Riesgos de Corrupción del Plan Anticorrupción y Atención al Ciudadano - PAAC, la identificación de riesgos y controles frente a conflictos de intereses.</w:t>
            </w:r>
          </w:p>
        </w:tc>
        <w:tc>
          <w:tcPr>
            <w:tcW w:w="658" w:type="pct"/>
            <w:tcBorders>
              <w:top w:val="single" w:sz="4" w:space="0" w:color="808080"/>
              <w:left w:val="nil"/>
              <w:bottom w:val="single" w:sz="4" w:space="0" w:color="808080"/>
              <w:right w:val="single" w:sz="4" w:space="0" w:color="808080"/>
            </w:tcBorders>
            <w:shd w:val="clear" w:color="auto" w:fill="auto"/>
            <w:vAlign w:val="center"/>
            <w:hideMark/>
          </w:tcPr>
          <w:p w14:paraId="7B725834"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 xml:space="preserve">Oficina de Planeación </w:t>
            </w:r>
          </w:p>
        </w:tc>
        <w:tc>
          <w:tcPr>
            <w:tcW w:w="931" w:type="pct"/>
            <w:tcBorders>
              <w:top w:val="single" w:sz="4" w:space="0" w:color="808080"/>
              <w:left w:val="nil"/>
              <w:bottom w:val="single" w:sz="4" w:space="0" w:color="808080"/>
              <w:right w:val="single" w:sz="4" w:space="0" w:color="808080"/>
            </w:tcBorders>
            <w:shd w:val="clear" w:color="auto" w:fill="auto"/>
            <w:noWrap/>
            <w:vAlign w:val="center"/>
            <w:hideMark/>
          </w:tcPr>
          <w:p w14:paraId="6CAEB681"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31 de Marzo de 2022</w:t>
            </w:r>
          </w:p>
        </w:tc>
      </w:tr>
      <w:tr w:rsidR="00A5592E" w:rsidRPr="00A5592E" w14:paraId="544760EC" w14:textId="77777777" w:rsidTr="00A5592E">
        <w:trPr>
          <w:trHeight w:val="1695"/>
        </w:trPr>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59C9D508"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2EFE72C4"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22" w:type="pct"/>
            <w:vMerge w:val="restart"/>
            <w:tcBorders>
              <w:top w:val="single" w:sz="4" w:space="0" w:color="808080"/>
              <w:left w:val="single" w:sz="4" w:space="0" w:color="808080"/>
              <w:bottom w:val="single" w:sz="4" w:space="0" w:color="808080"/>
              <w:right w:val="single" w:sz="4" w:space="0" w:color="808080"/>
            </w:tcBorders>
            <w:shd w:val="clear" w:color="000000" w:fill="D9E1F2"/>
            <w:vAlign w:val="center"/>
            <w:hideMark/>
          </w:tcPr>
          <w:p w14:paraId="7285A164"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 xml:space="preserve"> Condiciones institucionales</w:t>
            </w:r>
          </w:p>
        </w:tc>
        <w:tc>
          <w:tcPr>
            <w:tcW w:w="461" w:type="pct"/>
            <w:vMerge w:val="restart"/>
            <w:tcBorders>
              <w:top w:val="single" w:sz="4" w:space="0" w:color="808080"/>
              <w:left w:val="single" w:sz="4" w:space="0" w:color="808080"/>
              <w:bottom w:val="single" w:sz="4" w:space="0" w:color="808080"/>
              <w:right w:val="single" w:sz="4" w:space="0" w:color="808080"/>
            </w:tcBorders>
            <w:shd w:val="clear" w:color="000000" w:fill="D9E1F2"/>
            <w:vAlign w:val="center"/>
            <w:hideMark/>
          </w:tcPr>
          <w:p w14:paraId="0B8D7184"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Comité de Gestión y Desempeño</w:t>
            </w:r>
          </w:p>
        </w:tc>
        <w:tc>
          <w:tcPr>
            <w:tcW w:w="100" w:type="pct"/>
            <w:tcBorders>
              <w:top w:val="nil"/>
              <w:left w:val="nil"/>
              <w:bottom w:val="single" w:sz="4" w:space="0" w:color="808080"/>
              <w:right w:val="single" w:sz="4" w:space="0" w:color="808080"/>
            </w:tcBorders>
            <w:shd w:val="clear" w:color="auto" w:fill="auto"/>
            <w:noWrap/>
            <w:vAlign w:val="center"/>
            <w:hideMark/>
          </w:tcPr>
          <w:p w14:paraId="4C4895EA"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5.1</w:t>
            </w:r>
          </w:p>
        </w:tc>
        <w:tc>
          <w:tcPr>
            <w:tcW w:w="1440" w:type="pct"/>
            <w:tcBorders>
              <w:top w:val="nil"/>
              <w:left w:val="nil"/>
              <w:bottom w:val="single" w:sz="4" w:space="0" w:color="808080"/>
              <w:right w:val="single" w:sz="4" w:space="0" w:color="808080"/>
            </w:tcBorders>
            <w:shd w:val="clear" w:color="auto" w:fill="auto"/>
            <w:vAlign w:val="center"/>
            <w:hideMark/>
          </w:tcPr>
          <w:p w14:paraId="17AC1E5B"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Gestionar a través del  Comité Institucional de Gestión y Desempeño  el grupo de trabajo para la implementación de la política de integridad pública (MIPG): Código de integridad y la gestión de conflictos de intereses</w:t>
            </w:r>
          </w:p>
        </w:tc>
        <w:tc>
          <w:tcPr>
            <w:tcW w:w="658" w:type="pct"/>
            <w:tcBorders>
              <w:top w:val="nil"/>
              <w:left w:val="nil"/>
              <w:bottom w:val="single" w:sz="4" w:space="0" w:color="808080"/>
              <w:right w:val="single" w:sz="4" w:space="0" w:color="808080"/>
            </w:tcBorders>
            <w:shd w:val="clear" w:color="auto" w:fill="auto"/>
            <w:vAlign w:val="center"/>
            <w:hideMark/>
          </w:tcPr>
          <w:p w14:paraId="41155590"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 xml:space="preserve">Oficina de Planeación -Gestión del Talento Humano </w:t>
            </w:r>
          </w:p>
        </w:tc>
        <w:tc>
          <w:tcPr>
            <w:tcW w:w="931" w:type="pct"/>
            <w:tcBorders>
              <w:top w:val="nil"/>
              <w:left w:val="nil"/>
              <w:bottom w:val="single" w:sz="4" w:space="0" w:color="808080"/>
              <w:right w:val="single" w:sz="4" w:space="0" w:color="808080"/>
            </w:tcBorders>
            <w:shd w:val="clear" w:color="auto" w:fill="auto"/>
            <w:noWrap/>
            <w:vAlign w:val="center"/>
            <w:hideMark/>
          </w:tcPr>
          <w:p w14:paraId="6A803A3F"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de junio de 2022</w:t>
            </w:r>
          </w:p>
        </w:tc>
      </w:tr>
      <w:tr w:rsidR="00A5592E" w:rsidRPr="00A5592E" w14:paraId="04306687" w14:textId="77777777" w:rsidTr="00A5592E">
        <w:trPr>
          <w:trHeight w:val="1605"/>
        </w:trPr>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515E1600"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217ED6CB"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22" w:type="pct"/>
            <w:vMerge/>
            <w:tcBorders>
              <w:top w:val="single" w:sz="4" w:space="0" w:color="808080"/>
              <w:left w:val="single" w:sz="4" w:space="0" w:color="808080"/>
              <w:bottom w:val="single" w:sz="4" w:space="0" w:color="808080"/>
              <w:right w:val="single" w:sz="4" w:space="0" w:color="808080"/>
            </w:tcBorders>
            <w:vAlign w:val="center"/>
            <w:hideMark/>
          </w:tcPr>
          <w:p w14:paraId="1A02E697"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61" w:type="pct"/>
            <w:vMerge/>
            <w:tcBorders>
              <w:top w:val="single" w:sz="4" w:space="0" w:color="808080"/>
              <w:left w:val="single" w:sz="4" w:space="0" w:color="808080"/>
              <w:bottom w:val="single" w:sz="4" w:space="0" w:color="808080"/>
              <w:right w:val="single" w:sz="4" w:space="0" w:color="808080"/>
            </w:tcBorders>
            <w:vAlign w:val="center"/>
            <w:hideMark/>
          </w:tcPr>
          <w:p w14:paraId="7C54F536"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100" w:type="pct"/>
            <w:tcBorders>
              <w:top w:val="nil"/>
              <w:left w:val="nil"/>
              <w:bottom w:val="single" w:sz="4" w:space="0" w:color="808080"/>
              <w:right w:val="single" w:sz="4" w:space="0" w:color="808080"/>
            </w:tcBorders>
            <w:shd w:val="clear" w:color="auto" w:fill="auto"/>
            <w:noWrap/>
            <w:vAlign w:val="center"/>
            <w:hideMark/>
          </w:tcPr>
          <w:p w14:paraId="625007F5"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5.2</w:t>
            </w:r>
          </w:p>
        </w:tc>
        <w:tc>
          <w:tcPr>
            <w:tcW w:w="1440" w:type="pct"/>
            <w:tcBorders>
              <w:top w:val="nil"/>
              <w:left w:val="nil"/>
              <w:bottom w:val="single" w:sz="4" w:space="0" w:color="808080"/>
              <w:right w:val="single" w:sz="4" w:space="0" w:color="808080"/>
            </w:tcBorders>
            <w:shd w:val="clear" w:color="auto" w:fill="auto"/>
            <w:vAlign w:val="center"/>
            <w:hideMark/>
          </w:tcPr>
          <w:p w14:paraId="334E3F36"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 xml:space="preserve">Definir la dependencia para orientar legal o técnicamente a los servidores, contratistas, supervisores, coordinadores o jefes inmediatos, en la declaración de conflictos de intereses o decisión de impedimentos, recusaciones, inhabilidades o incompatibilidades. </w:t>
            </w:r>
          </w:p>
        </w:tc>
        <w:tc>
          <w:tcPr>
            <w:tcW w:w="658" w:type="pct"/>
            <w:tcBorders>
              <w:top w:val="nil"/>
              <w:left w:val="nil"/>
              <w:bottom w:val="single" w:sz="4" w:space="0" w:color="808080"/>
              <w:right w:val="single" w:sz="4" w:space="0" w:color="808080"/>
            </w:tcBorders>
            <w:shd w:val="clear" w:color="auto" w:fill="auto"/>
            <w:vAlign w:val="center"/>
            <w:hideMark/>
          </w:tcPr>
          <w:p w14:paraId="5BDBC219" w14:textId="77777777" w:rsidR="00A5592E" w:rsidRPr="00A5592E" w:rsidRDefault="00A5592E" w:rsidP="00A5592E">
            <w:pPr>
              <w:spacing w:line="240" w:lineRule="auto"/>
              <w:rPr>
                <w:rFonts w:asciiTheme="majorHAnsi" w:eastAsia="Times New Roman" w:hAnsiTheme="majorHAnsi" w:cstheme="majorHAnsi"/>
                <w:b w:val="0"/>
                <w:color w:val="auto"/>
                <w:sz w:val="20"/>
                <w:szCs w:val="20"/>
                <w:lang w:val="es-CO" w:eastAsia="es-CO"/>
              </w:rPr>
            </w:pPr>
            <w:r w:rsidRPr="00A5592E">
              <w:rPr>
                <w:rFonts w:asciiTheme="majorHAnsi" w:eastAsia="Times New Roman" w:hAnsiTheme="majorHAnsi" w:cstheme="majorHAnsi"/>
                <w:b w:val="0"/>
                <w:color w:val="auto"/>
                <w:sz w:val="20"/>
                <w:szCs w:val="20"/>
                <w:lang w:val="es-CO" w:eastAsia="es-CO"/>
              </w:rPr>
              <w:t>Oficina Jurídica - Gestión del Talento Humano - Contratación</w:t>
            </w:r>
          </w:p>
        </w:tc>
        <w:tc>
          <w:tcPr>
            <w:tcW w:w="931" w:type="pct"/>
            <w:tcBorders>
              <w:top w:val="nil"/>
              <w:left w:val="nil"/>
              <w:bottom w:val="single" w:sz="4" w:space="0" w:color="808080"/>
              <w:right w:val="single" w:sz="4" w:space="0" w:color="808080"/>
            </w:tcBorders>
            <w:shd w:val="clear" w:color="auto" w:fill="auto"/>
            <w:vAlign w:val="center"/>
            <w:hideMark/>
          </w:tcPr>
          <w:p w14:paraId="18B21DDD"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de junio de 2022</w:t>
            </w:r>
            <w:r w:rsidRPr="00A5592E">
              <w:rPr>
                <w:rFonts w:asciiTheme="majorHAnsi" w:eastAsia="Times New Roman" w:hAnsiTheme="majorHAnsi" w:cstheme="majorHAnsi"/>
                <w:b w:val="0"/>
                <w:color w:val="000000"/>
                <w:sz w:val="20"/>
                <w:szCs w:val="20"/>
                <w:lang w:val="es-CO" w:eastAsia="es-CO"/>
              </w:rPr>
              <w:br/>
              <w:t>30 de diciembre de 2022</w:t>
            </w:r>
          </w:p>
        </w:tc>
      </w:tr>
      <w:tr w:rsidR="00A5592E" w:rsidRPr="00A5592E" w14:paraId="19721770" w14:textId="77777777" w:rsidTr="00C97B9C">
        <w:trPr>
          <w:trHeight w:val="1845"/>
        </w:trPr>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4FDA0835"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7A79B7CF"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22" w:type="pct"/>
            <w:vMerge/>
            <w:tcBorders>
              <w:top w:val="single" w:sz="4" w:space="0" w:color="808080"/>
              <w:left w:val="single" w:sz="4" w:space="0" w:color="808080"/>
              <w:bottom w:val="single" w:sz="4" w:space="0" w:color="808080"/>
              <w:right w:val="single" w:sz="4" w:space="0" w:color="808080"/>
            </w:tcBorders>
            <w:vAlign w:val="center"/>
            <w:hideMark/>
          </w:tcPr>
          <w:p w14:paraId="2A8D893F"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61"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12D6F1E8"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Procesos y procedimientos</w:t>
            </w:r>
          </w:p>
        </w:tc>
        <w:tc>
          <w:tcPr>
            <w:tcW w:w="100" w:type="pct"/>
            <w:tcBorders>
              <w:top w:val="nil"/>
              <w:left w:val="nil"/>
              <w:bottom w:val="single" w:sz="4" w:space="0" w:color="808080"/>
              <w:right w:val="single" w:sz="4" w:space="0" w:color="808080"/>
            </w:tcBorders>
            <w:shd w:val="clear" w:color="auto" w:fill="auto"/>
            <w:noWrap/>
            <w:vAlign w:val="center"/>
            <w:hideMark/>
          </w:tcPr>
          <w:p w14:paraId="5B0B17B6"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5.3</w:t>
            </w:r>
          </w:p>
        </w:tc>
        <w:tc>
          <w:tcPr>
            <w:tcW w:w="1440" w:type="pct"/>
            <w:tcBorders>
              <w:top w:val="nil"/>
              <w:left w:val="nil"/>
              <w:bottom w:val="single" w:sz="4" w:space="0" w:color="808080"/>
              <w:right w:val="single" w:sz="4" w:space="0" w:color="808080"/>
            </w:tcBorders>
            <w:shd w:val="clear" w:color="auto" w:fill="auto"/>
            <w:vAlign w:val="center"/>
            <w:hideMark/>
          </w:tcPr>
          <w:p w14:paraId="5399976E"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Identificar las áreas con riesg</w:t>
            </w:r>
            <w:bookmarkStart w:id="0" w:name="_GoBack"/>
            <w:bookmarkEnd w:id="0"/>
            <w:r w:rsidRPr="00A5592E">
              <w:rPr>
                <w:rFonts w:asciiTheme="majorHAnsi" w:eastAsia="Times New Roman" w:hAnsiTheme="majorHAnsi" w:cstheme="majorHAnsi"/>
                <w:b w:val="0"/>
                <w:color w:val="000000"/>
                <w:sz w:val="20"/>
                <w:szCs w:val="20"/>
                <w:lang w:val="es-CO" w:eastAsia="es-CO"/>
              </w:rPr>
              <w:t>o de posibles conflictos de intereses en los procesos o dependencias</w:t>
            </w:r>
          </w:p>
        </w:tc>
        <w:tc>
          <w:tcPr>
            <w:tcW w:w="658" w:type="pct"/>
            <w:tcBorders>
              <w:top w:val="nil"/>
              <w:left w:val="nil"/>
              <w:bottom w:val="single" w:sz="4" w:space="0" w:color="808080"/>
              <w:right w:val="single" w:sz="4" w:space="0" w:color="808080"/>
            </w:tcBorders>
            <w:shd w:val="clear" w:color="auto" w:fill="auto"/>
            <w:vAlign w:val="center"/>
            <w:hideMark/>
          </w:tcPr>
          <w:p w14:paraId="46532988"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Grupo de trabajo designado por Comité Institucional de Gestión y Desempeño</w:t>
            </w:r>
          </w:p>
        </w:tc>
        <w:tc>
          <w:tcPr>
            <w:tcW w:w="931" w:type="pct"/>
            <w:tcBorders>
              <w:top w:val="nil"/>
              <w:left w:val="nil"/>
              <w:bottom w:val="single" w:sz="4" w:space="0" w:color="808080"/>
              <w:right w:val="single" w:sz="4" w:space="0" w:color="808080"/>
            </w:tcBorders>
            <w:shd w:val="clear" w:color="auto" w:fill="auto"/>
            <w:noWrap/>
            <w:vAlign w:val="center"/>
            <w:hideMark/>
          </w:tcPr>
          <w:p w14:paraId="7F6D26B0"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de noviembre de 2022</w:t>
            </w:r>
          </w:p>
        </w:tc>
      </w:tr>
      <w:tr w:rsidR="00A5592E" w:rsidRPr="00A5592E" w14:paraId="0FA93835" w14:textId="77777777" w:rsidTr="00A5592E">
        <w:trPr>
          <w:trHeight w:val="1185"/>
        </w:trPr>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48F9F3EF"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38100645"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22" w:type="pct"/>
            <w:vMerge/>
            <w:tcBorders>
              <w:top w:val="single" w:sz="4" w:space="0" w:color="808080"/>
              <w:left w:val="single" w:sz="4" w:space="0" w:color="808080"/>
              <w:bottom w:val="single" w:sz="4" w:space="0" w:color="808080"/>
              <w:right w:val="single" w:sz="4" w:space="0" w:color="808080"/>
            </w:tcBorders>
            <w:vAlign w:val="center"/>
            <w:hideMark/>
          </w:tcPr>
          <w:p w14:paraId="59CD54DD"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61" w:type="pct"/>
            <w:vMerge/>
            <w:tcBorders>
              <w:top w:val="nil"/>
              <w:left w:val="single" w:sz="4" w:space="0" w:color="808080"/>
              <w:bottom w:val="single" w:sz="4" w:space="0" w:color="808080"/>
              <w:right w:val="single" w:sz="4" w:space="0" w:color="808080"/>
            </w:tcBorders>
            <w:vAlign w:val="center"/>
            <w:hideMark/>
          </w:tcPr>
          <w:p w14:paraId="353D8D49"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100" w:type="pct"/>
            <w:tcBorders>
              <w:top w:val="single" w:sz="4" w:space="0" w:color="808080"/>
              <w:left w:val="nil"/>
              <w:bottom w:val="single" w:sz="4" w:space="0" w:color="808080"/>
              <w:right w:val="single" w:sz="4" w:space="0" w:color="808080"/>
            </w:tcBorders>
            <w:shd w:val="clear" w:color="auto" w:fill="auto"/>
            <w:noWrap/>
            <w:vAlign w:val="center"/>
            <w:hideMark/>
          </w:tcPr>
          <w:p w14:paraId="1561EBAF"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5.4</w:t>
            </w:r>
          </w:p>
        </w:tc>
        <w:tc>
          <w:tcPr>
            <w:tcW w:w="1440" w:type="pct"/>
            <w:tcBorders>
              <w:top w:val="single" w:sz="4" w:space="0" w:color="808080"/>
              <w:left w:val="nil"/>
              <w:bottom w:val="single" w:sz="4" w:space="0" w:color="808080"/>
              <w:right w:val="single" w:sz="4" w:space="0" w:color="808080"/>
            </w:tcBorders>
            <w:shd w:val="clear" w:color="auto" w:fill="auto"/>
            <w:hideMark/>
          </w:tcPr>
          <w:p w14:paraId="689B5AF5"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Organizar e implementar un canal de comunicación interna (correo, buzón, intranet) para recibir los impedimentos o recusaciones.</w:t>
            </w:r>
          </w:p>
        </w:tc>
        <w:tc>
          <w:tcPr>
            <w:tcW w:w="658" w:type="pct"/>
            <w:tcBorders>
              <w:top w:val="single" w:sz="4" w:space="0" w:color="808080"/>
              <w:left w:val="nil"/>
              <w:bottom w:val="single" w:sz="4" w:space="0" w:color="808080"/>
              <w:right w:val="single" w:sz="4" w:space="0" w:color="808080"/>
            </w:tcBorders>
            <w:shd w:val="clear" w:color="auto" w:fill="auto"/>
            <w:vAlign w:val="center"/>
            <w:hideMark/>
          </w:tcPr>
          <w:p w14:paraId="2AFD66A9" w14:textId="77777777" w:rsidR="00A5592E" w:rsidRPr="00A5592E" w:rsidRDefault="00A5592E" w:rsidP="00A5592E">
            <w:pPr>
              <w:spacing w:line="240" w:lineRule="auto"/>
              <w:rPr>
                <w:rFonts w:asciiTheme="majorHAnsi" w:eastAsia="Times New Roman" w:hAnsiTheme="majorHAnsi" w:cstheme="majorHAnsi"/>
                <w:b w:val="0"/>
                <w:color w:val="auto"/>
                <w:sz w:val="20"/>
                <w:szCs w:val="20"/>
                <w:lang w:val="es-CO" w:eastAsia="es-CO"/>
              </w:rPr>
            </w:pPr>
            <w:r w:rsidRPr="00A5592E">
              <w:rPr>
                <w:rFonts w:asciiTheme="majorHAnsi" w:eastAsia="Times New Roman" w:hAnsiTheme="majorHAnsi" w:cstheme="majorHAnsi"/>
                <w:b w:val="0"/>
                <w:color w:val="auto"/>
                <w:sz w:val="20"/>
                <w:szCs w:val="20"/>
                <w:lang w:val="es-CO" w:eastAsia="es-CO"/>
              </w:rPr>
              <w:t>Grupo de trabajo designado por Comité Institucional de Gestión y Desempeño</w:t>
            </w:r>
          </w:p>
        </w:tc>
        <w:tc>
          <w:tcPr>
            <w:tcW w:w="931" w:type="pct"/>
            <w:tcBorders>
              <w:top w:val="single" w:sz="4" w:space="0" w:color="808080"/>
              <w:left w:val="nil"/>
              <w:bottom w:val="single" w:sz="4" w:space="0" w:color="808080"/>
              <w:right w:val="single" w:sz="4" w:space="0" w:color="808080"/>
            </w:tcBorders>
            <w:shd w:val="clear" w:color="auto" w:fill="auto"/>
            <w:noWrap/>
            <w:vAlign w:val="center"/>
            <w:hideMark/>
          </w:tcPr>
          <w:p w14:paraId="56582C52"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de noviembre de 2022</w:t>
            </w:r>
          </w:p>
        </w:tc>
      </w:tr>
      <w:tr w:rsidR="00A5592E" w:rsidRPr="00A5592E" w14:paraId="1DC35A3A" w14:textId="77777777" w:rsidTr="00A5592E">
        <w:trPr>
          <w:trHeight w:val="1005"/>
        </w:trPr>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69DE0ABD"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064EEB6D"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22" w:type="pct"/>
            <w:vMerge/>
            <w:tcBorders>
              <w:top w:val="single" w:sz="4" w:space="0" w:color="808080"/>
              <w:left w:val="single" w:sz="4" w:space="0" w:color="808080"/>
              <w:bottom w:val="single" w:sz="4" w:space="0" w:color="808080"/>
              <w:right w:val="single" w:sz="4" w:space="0" w:color="808080"/>
            </w:tcBorders>
            <w:vAlign w:val="center"/>
            <w:hideMark/>
          </w:tcPr>
          <w:p w14:paraId="1CAA6441"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61" w:type="pct"/>
            <w:vMerge/>
            <w:tcBorders>
              <w:top w:val="nil"/>
              <w:left w:val="single" w:sz="4" w:space="0" w:color="808080"/>
              <w:bottom w:val="single" w:sz="4" w:space="0" w:color="808080"/>
              <w:right w:val="single" w:sz="4" w:space="0" w:color="808080"/>
            </w:tcBorders>
            <w:vAlign w:val="center"/>
            <w:hideMark/>
          </w:tcPr>
          <w:p w14:paraId="4FD4D92B"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100" w:type="pct"/>
            <w:tcBorders>
              <w:top w:val="single" w:sz="4" w:space="0" w:color="808080"/>
              <w:left w:val="nil"/>
              <w:bottom w:val="single" w:sz="4" w:space="0" w:color="808080"/>
              <w:right w:val="single" w:sz="4" w:space="0" w:color="808080"/>
            </w:tcBorders>
            <w:shd w:val="clear" w:color="auto" w:fill="auto"/>
            <w:noWrap/>
            <w:vAlign w:val="center"/>
            <w:hideMark/>
          </w:tcPr>
          <w:p w14:paraId="339C325E"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5.5</w:t>
            </w:r>
          </w:p>
        </w:tc>
        <w:tc>
          <w:tcPr>
            <w:tcW w:w="1440" w:type="pct"/>
            <w:tcBorders>
              <w:top w:val="single" w:sz="4" w:space="0" w:color="808080"/>
              <w:left w:val="nil"/>
              <w:bottom w:val="single" w:sz="4" w:space="0" w:color="808080"/>
              <w:right w:val="single" w:sz="4" w:space="0" w:color="808080"/>
            </w:tcBorders>
            <w:shd w:val="clear" w:color="auto" w:fill="auto"/>
            <w:hideMark/>
          </w:tcPr>
          <w:p w14:paraId="0A4521A2" w14:textId="7809EC0C" w:rsidR="00A5592E" w:rsidRPr="00A5592E" w:rsidRDefault="00B97757" w:rsidP="00A5592E">
            <w:pPr>
              <w:spacing w:line="240" w:lineRule="auto"/>
              <w:rPr>
                <w:rFonts w:asciiTheme="majorHAnsi" w:eastAsia="Times New Roman" w:hAnsiTheme="majorHAnsi" w:cstheme="majorHAnsi"/>
                <w:b w:val="0"/>
                <w:color w:val="000000"/>
                <w:sz w:val="20"/>
                <w:szCs w:val="20"/>
                <w:lang w:val="es-CO" w:eastAsia="es-CO"/>
              </w:rPr>
            </w:pPr>
            <w:r w:rsidRPr="00B97757">
              <w:rPr>
                <w:rFonts w:asciiTheme="majorHAnsi" w:eastAsia="Times New Roman" w:hAnsiTheme="majorHAnsi" w:cstheme="majorHAnsi"/>
                <w:b w:val="0"/>
                <w:color w:val="000000"/>
                <w:sz w:val="20"/>
                <w:szCs w:val="20"/>
                <w:lang w:val="es-CO" w:eastAsia="es-CO"/>
              </w:rPr>
              <w:t>Incluir dentro del listado de la documentación precontractual de personas naturales, la obligación de los contratistas de realizar su declaración de conflictos de intereses.</w:t>
            </w:r>
          </w:p>
        </w:tc>
        <w:tc>
          <w:tcPr>
            <w:tcW w:w="658" w:type="pct"/>
            <w:tcBorders>
              <w:top w:val="single" w:sz="4" w:space="0" w:color="808080"/>
              <w:left w:val="nil"/>
              <w:bottom w:val="single" w:sz="4" w:space="0" w:color="808080"/>
              <w:right w:val="single" w:sz="4" w:space="0" w:color="808080"/>
            </w:tcBorders>
            <w:shd w:val="clear" w:color="auto" w:fill="auto"/>
            <w:vAlign w:val="center"/>
            <w:hideMark/>
          </w:tcPr>
          <w:p w14:paraId="19280365" w14:textId="77777777" w:rsidR="00A5592E" w:rsidRPr="00A5592E" w:rsidRDefault="00A5592E" w:rsidP="00A5592E">
            <w:pPr>
              <w:spacing w:line="240" w:lineRule="auto"/>
              <w:rPr>
                <w:rFonts w:asciiTheme="majorHAnsi" w:eastAsia="Times New Roman" w:hAnsiTheme="majorHAnsi" w:cstheme="majorHAnsi"/>
                <w:b w:val="0"/>
                <w:color w:val="auto"/>
                <w:sz w:val="20"/>
                <w:szCs w:val="20"/>
                <w:lang w:val="es-CO" w:eastAsia="es-CO"/>
              </w:rPr>
            </w:pPr>
            <w:r w:rsidRPr="00A5592E">
              <w:rPr>
                <w:rFonts w:asciiTheme="majorHAnsi" w:eastAsia="Times New Roman" w:hAnsiTheme="majorHAnsi" w:cstheme="majorHAnsi"/>
                <w:b w:val="0"/>
                <w:color w:val="auto"/>
                <w:sz w:val="20"/>
                <w:szCs w:val="20"/>
                <w:lang w:val="es-CO" w:eastAsia="es-CO"/>
              </w:rPr>
              <w:t>Contratación</w:t>
            </w:r>
          </w:p>
        </w:tc>
        <w:tc>
          <w:tcPr>
            <w:tcW w:w="931" w:type="pct"/>
            <w:tcBorders>
              <w:top w:val="single" w:sz="4" w:space="0" w:color="808080"/>
              <w:left w:val="nil"/>
              <w:bottom w:val="single" w:sz="4" w:space="0" w:color="808080"/>
              <w:right w:val="single" w:sz="4" w:space="0" w:color="808080"/>
            </w:tcBorders>
            <w:shd w:val="clear" w:color="auto" w:fill="auto"/>
            <w:noWrap/>
            <w:vAlign w:val="center"/>
            <w:hideMark/>
          </w:tcPr>
          <w:p w14:paraId="2F16EE5E" w14:textId="7BB9F909" w:rsidR="00A5592E" w:rsidRPr="00A5592E" w:rsidRDefault="00A5592E" w:rsidP="001B3FD0">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31 de enero de 2022</w:t>
            </w:r>
            <w:r w:rsidR="00B97757">
              <w:rPr>
                <w:rFonts w:asciiTheme="majorHAnsi" w:eastAsia="Times New Roman" w:hAnsiTheme="majorHAnsi" w:cstheme="majorHAnsi"/>
                <w:b w:val="0"/>
                <w:color w:val="000000"/>
                <w:sz w:val="20"/>
                <w:szCs w:val="20"/>
                <w:lang w:val="es-CO" w:eastAsia="es-CO"/>
              </w:rPr>
              <w:t xml:space="preserve"> </w:t>
            </w:r>
          </w:p>
        </w:tc>
      </w:tr>
      <w:tr w:rsidR="00A5592E" w:rsidRPr="00A5592E" w14:paraId="027BB155" w14:textId="77777777" w:rsidTr="00A5592E">
        <w:trPr>
          <w:trHeight w:val="1185"/>
        </w:trPr>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6A6920E2"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5E1F78AF"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22" w:type="pct"/>
            <w:vMerge/>
            <w:tcBorders>
              <w:top w:val="single" w:sz="4" w:space="0" w:color="808080"/>
              <w:left w:val="single" w:sz="4" w:space="0" w:color="808080"/>
              <w:bottom w:val="single" w:sz="4" w:space="0" w:color="808080"/>
              <w:right w:val="single" w:sz="4" w:space="0" w:color="808080"/>
            </w:tcBorders>
            <w:vAlign w:val="center"/>
            <w:hideMark/>
          </w:tcPr>
          <w:p w14:paraId="7865B1B4"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61" w:type="pct"/>
            <w:vMerge/>
            <w:tcBorders>
              <w:top w:val="nil"/>
              <w:left w:val="single" w:sz="4" w:space="0" w:color="808080"/>
              <w:bottom w:val="single" w:sz="4" w:space="0" w:color="808080"/>
              <w:right w:val="single" w:sz="4" w:space="0" w:color="808080"/>
            </w:tcBorders>
            <w:vAlign w:val="center"/>
            <w:hideMark/>
          </w:tcPr>
          <w:p w14:paraId="705F4850"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100" w:type="pct"/>
            <w:tcBorders>
              <w:top w:val="single" w:sz="4" w:space="0" w:color="808080"/>
              <w:left w:val="nil"/>
              <w:bottom w:val="single" w:sz="4" w:space="0" w:color="808080"/>
              <w:right w:val="single" w:sz="4" w:space="0" w:color="808080"/>
            </w:tcBorders>
            <w:shd w:val="clear" w:color="auto" w:fill="auto"/>
            <w:noWrap/>
            <w:vAlign w:val="center"/>
            <w:hideMark/>
          </w:tcPr>
          <w:p w14:paraId="12662412"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5.6</w:t>
            </w:r>
          </w:p>
        </w:tc>
        <w:tc>
          <w:tcPr>
            <w:tcW w:w="1440" w:type="pct"/>
            <w:tcBorders>
              <w:top w:val="single" w:sz="4" w:space="0" w:color="808080"/>
              <w:left w:val="nil"/>
              <w:bottom w:val="single" w:sz="4" w:space="0" w:color="808080"/>
              <w:right w:val="single" w:sz="4" w:space="0" w:color="808080"/>
            </w:tcBorders>
            <w:shd w:val="clear" w:color="auto" w:fill="auto"/>
            <w:hideMark/>
          </w:tcPr>
          <w:p w14:paraId="73827584"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 xml:space="preserve">Establecer el procedimiento interno para el manejo y declaración de conflictos de intereses de conformidad con el artículo 12 de la Ley 1437 de 2011. </w:t>
            </w:r>
          </w:p>
        </w:tc>
        <w:tc>
          <w:tcPr>
            <w:tcW w:w="658" w:type="pct"/>
            <w:tcBorders>
              <w:top w:val="single" w:sz="4" w:space="0" w:color="808080"/>
              <w:left w:val="nil"/>
              <w:bottom w:val="single" w:sz="4" w:space="0" w:color="808080"/>
              <w:right w:val="single" w:sz="4" w:space="0" w:color="808080"/>
            </w:tcBorders>
            <w:shd w:val="clear" w:color="auto" w:fill="auto"/>
            <w:vAlign w:val="center"/>
            <w:hideMark/>
          </w:tcPr>
          <w:p w14:paraId="6EE344E2" w14:textId="77777777" w:rsidR="00A5592E" w:rsidRPr="00A5592E" w:rsidRDefault="00A5592E" w:rsidP="00A5592E">
            <w:pPr>
              <w:spacing w:line="240" w:lineRule="auto"/>
              <w:rPr>
                <w:rFonts w:asciiTheme="majorHAnsi" w:eastAsia="Times New Roman" w:hAnsiTheme="majorHAnsi" w:cstheme="majorHAnsi"/>
                <w:b w:val="0"/>
                <w:color w:val="auto"/>
                <w:sz w:val="20"/>
                <w:szCs w:val="20"/>
                <w:lang w:val="es-CO" w:eastAsia="es-CO"/>
              </w:rPr>
            </w:pPr>
            <w:r w:rsidRPr="00A5592E">
              <w:rPr>
                <w:rFonts w:asciiTheme="majorHAnsi" w:eastAsia="Times New Roman" w:hAnsiTheme="majorHAnsi" w:cstheme="majorHAnsi"/>
                <w:b w:val="0"/>
                <w:color w:val="auto"/>
                <w:sz w:val="20"/>
                <w:szCs w:val="20"/>
                <w:lang w:val="es-CO" w:eastAsia="es-CO"/>
              </w:rPr>
              <w:t>Grupo de trabajo designado por Comité Institucional de Gestión y Desempeño</w:t>
            </w:r>
          </w:p>
        </w:tc>
        <w:tc>
          <w:tcPr>
            <w:tcW w:w="931" w:type="pct"/>
            <w:tcBorders>
              <w:top w:val="single" w:sz="4" w:space="0" w:color="808080"/>
              <w:left w:val="nil"/>
              <w:bottom w:val="single" w:sz="4" w:space="0" w:color="808080"/>
              <w:right w:val="single" w:sz="4" w:space="0" w:color="808080"/>
            </w:tcBorders>
            <w:shd w:val="clear" w:color="auto" w:fill="auto"/>
            <w:noWrap/>
            <w:vAlign w:val="center"/>
            <w:hideMark/>
          </w:tcPr>
          <w:p w14:paraId="1FD67CBA"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diciembre de 2022</w:t>
            </w:r>
          </w:p>
        </w:tc>
      </w:tr>
      <w:tr w:rsidR="00A5592E" w:rsidRPr="00A5592E" w14:paraId="5CCF70F4" w14:textId="77777777" w:rsidTr="00A5592E">
        <w:trPr>
          <w:trHeight w:val="1590"/>
        </w:trPr>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5E4EC179"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0E6136A0"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22" w:type="pct"/>
            <w:tcBorders>
              <w:top w:val="nil"/>
              <w:left w:val="nil"/>
              <w:bottom w:val="single" w:sz="4" w:space="0" w:color="808080"/>
              <w:right w:val="single" w:sz="4" w:space="0" w:color="808080"/>
            </w:tcBorders>
            <w:shd w:val="clear" w:color="000000" w:fill="D9E1F2"/>
            <w:vAlign w:val="center"/>
            <w:hideMark/>
          </w:tcPr>
          <w:p w14:paraId="42793F50"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Pedagogía al interior de la entidad</w:t>
            </w:r>
          </w:p>
        </w:tc>
        <w:tc>
          <w:tcPr>
            <w:tcW w:w="461" w:type="pct"/>
            <w:tcBorders>
              <w:top w:val="nil"/>
              <w:left w:val="nil"/>
              <w:bottom w:val="single" w:sz="4" w:space="0" w:color="808080"/>
              <w:right w:val="single" w:sz="4" w:space="0" w:color="808080"/>
            </w:tcBorders>
            <w:shd w:val="clear" w:color="000000" w:fill="D9E1F2"/>
            <w:vAlign w:val="center"/>
            <w:hideMark/>
          </w:tcPr>
          <w:p w14:paraId="407EB9D4"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Capacitación</w:t>
            </w:r>
          </w:p>
        </w:tc>
        <w:tc>
          <w:tcPr>
            <w:tcW w:w="100" w:type="pct"/>
            <w:tcBorders>
              <w:top w:val="single" w:sz="4" w:space="0" w:color="808080"/>
              <w:left w:val="nil"/>
              <w:bottom w:val="single" w:sz="4" w:space="0" w:color="808080"/>
              <w:right w:val="single" w:sz="4" w:space="0" w:color="808080"/>
            </w:tcBorders>
            <w:shd w:val="clear" w:color="auto" w:fill="auto"/>
            <w:noWrap/>
            <w:vAlign w:val="center"/>
            <w:hideMark/>
          </w:tcPr>
          <w:p w14:paraId="58ABC4B8"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6.1</w:t>
            </w:r>
          </w:p>
        </w:tc>
        <w:tc>
          <w:tcPr>
            <w:tcW w:w="1440" w:type="pct"/>
            <w:tcBorders>
              <w:top w:val="single" w:sz="4" w:space="0" w:color="808080"/>
              <w:left w:val="nil"/>
              <w:bottom w:val="single" w:sz="4" w:space="0" w:color="808080"/>
              <w:right w:val="single" w:sz="4" w:space="0" w:color="808080"/>
            </w:tcBorders>
            <w:shd w:val="clear" w:color="auto" w:fill="auto"/>
            <w:hideMark/>
          </w:tcPr>
          <w:p w14:paraId="50A6A45B"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Incluir en el plan de capacitación institucional temas sobre la identificación y gestión de conflictos de intereses, su declaración proactiva, el cumplimiento de la Ley 2013 de 2019 y el trámite de los impedimentos y recusaciones de acuerdo al artículo 12 de la Ley 1437 de 2011.</w:t>
            </w:r>
          </w:p>
        </w:tc>
        <w:tc>
          <w:tcPr>
            <w:tcW w:w="658" w:type="pct"/>
            <w:tcBorders>
              <w:top w:val="single" w:sz="4" w:space="0" w:color="808080"/>
              <w:left w:val="nil"/>
              <w:bottom w:val="single" w:sz="4" w:space="0" w:color="808080"/>
              <w:right w:val="single" w:sz="4" w:space="0" w:color="808080"/>
            </w:tcBorders>
            <w:shd w:val="clear" w:color="auto" w:fill="auto"/>
            <w:vAlign w:val="center"/>
            <w:hideMark/>
          </w:tcPr>
          <w:p w14:paraId="23FC04E9"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Gestión del Talento Humano</w:t>
            </w:r>
          </w:p>
        </w:tc>
        <w:tc>
          <w:tcPr>
            <w:tcW w:w="931" w:type="pct"/>
            <w:tcBorders>
              <w:top w:val="single" w:sz="4" w:space="0" w:color="808080"/>
              <w:left w:val="nil"/>
              <w:bottom w:val="single" w:sz="4" w:space="0" w:color="808080"/>
              <w:right w:val="single" w:sz="4" w:space="0" w:color="808080"/>
            </w:tcBorders>
            <w:shd w:val="clear" w:color="auto" w:fill="auto"/>
            <w:vAlign w:val="center"/>
            <w:hideMark/>
          </w:tcPr>
          <w:p w14:paraId="16552DEC"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28 de febrero de 2022</w:t>
            </w:r>
          </w:p>
        </w:tc>
      </w:tr>
      <w:tr w:rsidR="00A5592E" w:rsidRPr="00A5592E" w14:paraId="072DFB34" w14:textId="77777777" w:rsidTr="00C97B9C">
        <w:trPr>
          <w:trHeight w:val="1635"/>
        </w:trPr>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1D2D1FA7"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6724096E"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22"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6C8AB0E7"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Seguimiento y evaluación</w:t>
            </w:r>
          </w:p>
        </w:tc>
        <w:tc>
          <w:tcPr>
            <w:tcW w:w="461" w:type="pct"/>
            <w:tcBorders>
              <w:top w:val="nil"/>
              <w:left w:val="nil"/>
              <w:bottom w:val="single" w:sz="4" w:space="0" w:color="808080"/>
              <w:right w:val="single" w:sz="4" w:space="0" w:color="808080"/>
            </w:tcBorders>
            <w:shd w:val="clear" w:color="000000" w:fill="D9E1F2"/>
            <w:vAlign w:val="center"/>
            <w:hideMark/>
          </w:tcPr>
          <w:p w14:paraId="1FB175FF"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Declaración de bienes, rentas y conflictos de intereses Ley 2013 de 2019</w:t>
            </w:r>
          </w:p>
        </w:tc>
        <w:tc>
          <w:tcPr>
            <w:tcW w:w="100" w:type="pct"/>
            <w:tcBorders>
              <w:top w:val="single" w:sz="4" w:space="0" w:color="808080"/>
              <w:left w:val="nil"/>
              <w:bottom w:val="single" w:sz="4" w:space="0" w:color="808080"/>
              <w:right w:val="single" w:sz="4" w:space="0" w:color="808080"/>
            </w:tcBorders>
            <w:shd w:val="clear" w:color="auto" w:fill="auto"/>
            <w:noWrap/>
            <w:vAlign w:val="center"/>
            <w:hideMark/>
          </w:tcPr>
          <w:p w14:paraId="760876A6"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7.1</w:t>
            </w:r>
          </w:p>
        </w:tc>
        <w:tc>
          <w:tcPr>
            <w:tcW w:w="1440" w:type="pct"/>
            <w:tcBorders>
              <w:top w:val="single" w:sz="4" w:space="0" w:color="808080"/>
              <w:left w:val="nil"/>
              <w:bottom w:val="single" w:sz="4" w:space="0" w:color="808080"/>
              <w:right w:val="single" w:sz="4" w:space="0" w:color="808080"/>
            </w:tcBorders>
            <w:shd w:val="clear" w:color="auto" w:fill="auto"/>
            <w:hideMark/>
          </w:tcPr>
          <w:p w14:paraId="3DBCB54B"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Promover que el 100% de servidores públicos y contratistas de la entidad obligados por la Ley 2013 de 2019 publiquen la declaración de bienes, rentas y conflicto de intereses en el aplicativo establecido por Función Pública.</w:t>
            </w:r>
          </w:p>
        </w:tc>
        <w:tc>
          <w:tcPr>
            <w:tcW w:w="658" w:type="pct"/>
            <w:tcBorders>
              <w:top w:val="single" w:sz="4" w:space="0" w:color="808080"/>
              <w:left w:val="nil"/>
              <w:bottom w:val="single" w:sz="4" w:space="0" w:color="808080"/>
              <w:right w:val="single" w:sz="4" w:space="0" w:color="808080"/>
            </w:tcBorders>
            <w:shd w:val="clear" w:color="auto" w:fill="auto"/>
            <w:vAlign w:val="center"/>
            <w:hideMark/>
          </w:tcPr>
          <w:p w14:paraId="0B83C2CF"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Gestión del Talento Humano</w:t>
            </w:r>
          </w:p>
        </w:tc>
        <w:tc>
          <w:tcPr>
            <w:tcW w:w="931" w:type="pct"/>
            <w:tcBorders>
              <w:top w:val="single" w:sz="4" w:space="0" w:color="808080"/>
              <w:left w:val="nil"/>
              <w:bottom w:val="single" w:sz="4" w:space="0" w:color="808080"/>
              <w:right w:val="single" w:sz="4" w:space="0" w:color="808080"/>
            </w:tcBorders>
            <w:shd w:val="clear" w:color="auto" w:fill="auto"/>
            <w:vAlign w:val="center"/>
            <w:hideMark/>
          </w:tcPr>
          <w:p w14:paraId="58D53A64"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de  julio de 2022</w:t>
            </w:r>
          </w:p>
        </w:tc>
      </w:tr>
      <w:tr w:rsidR="00A5592E" w:rsidRPr="00A5592E" w14:paraId="3930F1F2" w14:textId="77777777" w:rsidTr="00A5592E">
        <w:trPr>
          <w:trHeight w:val="1425"/>
        </w:trPr>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0A0AAA73"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5639A5DD"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22" w:type="pct"/>
            <w:vMerge/>
            <w:tcBorders>
              <w:top w:val="nil"/>
              <w:left w:val="single" w:sz="4" w:space="0" w:color="808080"/>
              <w:bottom w:val="single" w:sz="4" w:space="0" w:color="808080"/>
              <w:right w:val="single" w:sz="4" w:space="0" w:color="808080"/>
            </w:tcBorders>
            <w:vAlign w:val="center"/>
            <w:hideMark/>
          </w:tcPr>
          <w:p w14:paraId="7C9CEFF0"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61" w:type="pct"/>
            <w:tcBorders>
              <w:top w:val="single" w:sz="4" w:space="0" w:color="808080"/>
              <w:left w:val="nil"/>
              <w:bottom w:val="single" w:sz="4" w:space="0" w:color="808080"/>
              <w:right w:val="single" w:sz="4" w:space="0" w:color="808080"/>
            </w:tcBorders>
            <w:shd w:val="clear" w:color="000000" w:fill="D9E1F2"/>
            <w:vAlign w:val="center"/>
            <w:hideMark/>
          </w:tcPr>
          <w:p w14:paraId="2BADD688"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Registro de las declaraciones de conflictos de intereses</w:t>
            </w:r>
          </w:p>
        </w:tc>
        <w:tc>
          <w:tcPr>
            <w:tcW w:w="100" w:type="pct"/>
            <w:tcBorders>
              <w:top w:val="single" w:sz="4" w:space="0" w:color="808080"/>
              <w:left w:val="nil"/>
              <w:bottom w:val="single" w:sz="4" w:space="0" w:color="808080"/>
              <w:right w:val="single" w:sz="4" w:space="0" w:color="808080"/>
            </w:tcBorders>
            <w:shd w:val="clear" w:color="auto" w:fill="auto"/>
            <w:noWrap/>
            <w:vAlign w:val="center"/>
            <w:hideMark/>
          </w:tcPr>
          <w:p w14:paraId="470BDB20"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7.2</w:t>
            </w:r>
          </w:p>
        </w:tc>
        <w:tc>
          <w:tcPr>
            <w:tcW w:w="1440" w:type="pct"/>
            <w:tcBorders>
              <w:top w:val="single" w:sz="4" w:space="0" w:color="808080"/>
              <w:left w:val="nil"/>
              <w:bottom w:val="single" w:sz="4" w:space="0" w:color="808080"/>
              <w:right w:val="single" w:sz="4" w:space="0" w:color="808080"/>
            </w:tcBorders>
            <w:shd w:val="clear" w:color="auto" w:fill="auto"/>
            <w:vAlign w:val="center"/>
            <w:hideMark/>
          </w:tcPr>
          <w:p w14:paraId="2CE22B8D"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Realizar seguimiento y monitoreo al registro de conflictos de intereses han surtido tramite (Presentación en el aplicativo  por la Integridad Pública)</w:t>
            </w:r>
          </w:p>
        </w:tc>
        <w:tc>
          <w:tcPr>
            <w:tcW w:w="658" w:type="pct"/>
            <w:tcBorders>
              <w:top w:val="single" w:sz="4" w:space="0" w:color="808080"/>
              <w:left w:val="nil"/>
              <w:bottom w:val="single" w:sz="4" w:space="0" w:color="808080"/>
              <w:right w:val="single" w:sz="4" w:space="0" w:color="808080"/>
            </w:tcBorders>
            <w:shd w:val="clear" w:color="auto" w:fill="auto"/>
            <w:vAlign w:val="center"/>
            <w:hideMark/>
          </w:tcPr>
          <w:p w14:paraId="7BAD7A4A" w14:textId="77777777" w:rsidR="00A5592E" w:rsidRPr="00A5592E" w:rsidRDefault="00A5592E" w:rsidP="00A5592E">
            <w:pPr>
              <w:spacing w:line="240" w:lineRule="auto"/>
              <w:rPr>
                <w:rFonts w:asciiTheme="majorHAnsi" w:eastAsia="Times New Roman" w:hAnsiTheme="majorHAnsi" w:cstheme="majorHAnsi"/>
                <w:b w:val="0"/>
                <w:color w:val="auto"/>
                <w:sz w:val="20"/>
                <w:szCs w:val="20"/>
                <w:lang w:val="es-CO" w:eastAsia="es-CO"/>
              </w:rPr>
            </w:pPr>
            <w:r w:rsidRPr="00A5592E">
              <w:rPr>
                <w:rFonts w:asciiTheme="majorHAnsi" w:eastAsia="Times New Roman" w:hAnsiTheme="majorHAnsi" w:cstheme="majorHAnsi"/>
                <w:b w:val="0"/>
                <w:color w:val="auto"/>
                <w:sz w:val="20"/>
                <w:szCs w:val="20"/>
                <w:lang w:val="es-CO" w:eastAsia="es-CO"/>
              </w:rPr>
              <w:t>Gestión del Talento Humano  - Contratación</w:t>
            </w:r>
          </w:p>
        </w:tc>
        <w:tc>
          <w:tcPr>
            <w:tcW w:w="931" w:type="pct"/>
            <w:tcBorders>
              <w:top w:val="single" w:sz="4" w:space="0" w:color="808080"/>
              <w:left w:val="nil"/>
              <w:bottom w:val="single" w:sz="4" w:space="0" w:color="808080"/>
              <w:right w:val="single" w:sz="4" w:space="0" w:color="808080"/>
            </w:tcBorders>
            <w:shd w:val="clear" w:color="auto" w:fill="auto"/>
            <w:noWrap/>
            <w:vAlign w:val="center"/>
            <w:hideMark/>
          </w:tcPr>
          <w:p w14:paraId="49396051" w14:textId="213E9062" w:rsidR="00A5592E" w:rsidRPr="00A5592E" w:rsidRDefault="00C97B9C"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de junio de 2022</w:t>
            </w:r>
            <w:r w:rsidRPr="00A5592E">
              <w:rPr>
                <w:rFonts w:asciiTheme="majorHAnsi" w:eastAsia="Times New Roman" w:hAnsiTheme="majorHAnsi" w:cstheme="majorHAnsi"/>
                <w:b w:val="0"/>
                <w:color w:val="000000"/>
                <w:sz w:val="20"/>
                <w:szCs w:val="20"/>
                <w:lang w:val="es-CO" w:eastAsia="es-CO"/>
              </w:rPr>
              <w:br/>
              <w:t>30 de diciembre de 2022</w:t>
            </w:r>
          </w:p>
        </w:tc>
      </w:tr>
      <w:tr w:rsidR="00A5592E" w:rsidRPr="00A5592E" w14:paraId="603F3217" w14:textId="77777777" w:rsidTr="00A5592E">
        <w:trPr>
          <w:trHeight w:val="1530"/>
        </w:trPr>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25BEA7AF"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1E33A517"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22" w:type="pct"/>
            <w:vMerge/>
            <w:tcBorders>
              <w:top w:val="nil"/>
              <w:left w:val="single" w:sz="4" w:space="0" w:color="808080"/>
              <w:bottom w:val="single" w:sz="4" w:space="0" w:color="808080"/>
              <w:right w:val="single" w:sz="4" w:space="0" w:color="808080"/>
            </w:tcBorders>
            <w:vAlign w:val="center"/>
            <w:hideMark/>
          </w:tcPr>
          <w:p w14:paraId="3E5125E4"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61" w:type="pct"/>
            <w:tcBorders>
              <w:top w:val="single" w:sz="4" w:space="0" w:color="808080"/>
              <w:left w:val="nil"/>
              <w:bottom w:val="single" w:sz="4" w:space="0" w:color="808080"/>
              <w:right w:val="single" w:sz="4" w:space="0" w:color="808080"/>
            </w:tcBorders>
            <w:shd w:val="clear" w:color="000000" w:fill="D9E1F2"/>
            <w:vAlign w:val="center"/>
            <w:hideMark/>
          </w:tcPr>
          <w:p w14:paraId="4A27810E"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Articulación con actores clave o grupos de valor</w:t>
            </w:r>
          </w:p>
        </w:tc>
        <w:tc>
          <w:tcPr>
            <w:tcW w:w="100" w:type="pct"/>
            <w:tcBorders>
              <w:top w:val="single" w:sz="4" w:space="0" w:color="808080"/>
              <w:left w:val="nil"/>
              <w:bottom w:val="single" w:sz="4" w:space="0" w:color="808080"/>
              <w:right w:val="single" w:sz="4" w:space="0" w:color="808080"/>
            </w:tcBorders>
            <w:shd w:val="clear" w:color="auto" w:fill="auto"/>
            <w:noWrap/>
            <w:vAlign w:val="center"/>
            <w:hideMark/>
          </w:tcPr>
          <w:p w14:paraId="688EDF22"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7.3</w:t>
            </w:r>
          </w:p>
        </w:tc>
        <w:tc>
          <w:tcPr>
            <w:tcW w:w="1440" w:type="pct"/>
            <w:tcBorders>
              <w:top w:val="single" w:sz="4" w:space="0" w:color="808080"/>
              <w:left w:val="nil"/>
              <w:bottom w:val="single" w:sz="4" w:space="0" w:color="808080"/>
              <w:right w:val="single" w:sz="4" w:space="0" w:color="808080"/>
            </w:tcBorders>
            <w:shd w:val="clear" w:color="auto" w:fill="auto"/>
            <w:vAlign w:val="center"/>
            <w:hideMark/>
          </w:tcPr>
          <w:p w14:paraId="4C130E84" w14:textId="0326A211" w:rsidR="00A5592E" w:rsidRPr="00A5592E" w:rsidRDefault="00C97B9C" w:rsidP="00A5592E">
            <w:pPr>
              <w:spacing w:line="240" w:lineRule="auto"/>
              <w:rPr>
                <w:rFonts w:asciiTheme="majorHAnsi" w:eastAsia="Times New Roman" w:hAnsiTheme="majorHAnsi" w:cstheme="majorHAnsi"/>
                <w:b w:val="0"/>
                <w:color w:val="000000"/>
                <w:sz w:val="20"/>
                <w:szCs w:val="20"/>
                <w:lang w:val="es-CO" w:eastAsia="es-CO"/>
              </w:rPr>
            </w:pPr>
            <w:r w:rsidRPr="00C97B9C">
              <w:rPr>
                <w:rFonts w:asciiTheme="majorHAnsi" w:eastAsia="Times New Roman" w:hAnsiTheme="majorHAnsi" w:cstheme="majorHAnsi"/>
                <w:b w:val="0"/>
                <w:color w:val="000000"/>
                <w:sz w:val="20"/>
                <w:szCs w:val="20"/>
                <w:lang w:val="es-CO" w:eastAsia="es-CO"/>
              </w:rPr>
              <w:t xml:space="preserve">Realizar iniciativas de involucramiento de la ciudadanía en la consulta y seguimiento de las declaraciones realizadas por servidores públicos y </w:t>
            </w:r>
            <w:r w:rsidR="00425AD2" w:rsidRPr="00C97B9C">
              <w:rPr>
                <w:rFonts w:asciiTheme="majorHAnsi" w:eastAsia="Times New Roman" w:hAnsiTheme="majorHAnsi" w:cstheme="majorHAnsi"/>
                <w:b w:val="0"/>
                <w:color w:val="000000"/>
                <w:sz w:val="20"/>
                <w:szCs w:val="20"/>
                <w:lang w:val="es-CO" w:eastAsia="es-CO"/>
              </w:rPr>
              <w:t>contratistas en</w:t>
            </w:r>
            <w:r w:rsidRPr="00C97B9C">
              <w:rPr>
                <w:rFonts w:asciiTheme="majorHAnsi" w:eastAsia="Times New Roman" w:hAnsiTheme="majorHAnsi" w:cstheme="majorHAnsi"/>
                <w:b w:val="0"/>
                <w:color w:val="000000"/>
                <w:sz w:val="20"/>
                <w:szCs w:val="20"/>
                <w:lang w:val="es-CO" w:eastAsia="es-CO"/>
              </w:rPr>
              <w:t xml:space="preserve"> el Aplicativo por la Integridad. (Publicar enlace de aplicativo </w:t>
            </w:r>
            <w:r w:rsidR="00425AD2" w:rsidRPr="00C97B9C">
              <w:rPr>
                <w:rFonts w:asciiTheme="majorHAnsi" w:eastAsia="Times New Roman" w:hAnsiTheme="majorHAnsi" w:cstheme="majorHAnsi"/>
                <w:b w:val="0"/>
                <w:color w:val="000000"/>
                <w:sz w:val="20"/>
                <w:szCs w:val="20"/>
                <w:lang w:val="es-CO" w:eastAsia="es-CO"/>
              </w:rPr>
              <w:t>por</w:t>
            </w:r>
            <w:r w:rsidRPr="00C97B9C">
              <w:rPr>
                <w:rFonts w:asciiTheme="majorHAnsi" w:eastAsia="Times New Roman" w:hAnsiTheme="majorHAnsi" w:cstheme="majorHAnsi"/>
                <w:b w:val="0"/>
                <w:color w:val="000000"/>
                <w:sz w:val="20"/>
                <w:szCs w:val="20"/>
                <w:lang w:val="es-CO" w:eastAsia="es-CO"/>
              </w:rPr>
              <w:t xml:space="preserve"> </w:t>
            </w:r>
            <w:r w:rsidR="00425AD2" w:rsidRPr="00C97B9C">
              <w:rPr>
                <w:rFonts w:asciiTheme="majorHAnsi" w:eastAsia="Times New Roman" w:hAnsiTheme="majorHAnsi" w:cstheme="majorHAnsi"/>
                <w:b w:val="0"/>
                <w:color w:val="000000"/>
                <w:sz w:val="20"/>
                <w:szCs w:val="20"/>
                <w:lang w:val="es-CO" w:eastAsia="es-CO"/>
              </w:rPr>
              <w:t>integridad</w:t>
            </w:r>
            <w:r w:rsidRPr="00C97B9C">
              <w:rPr>
                <w:rFonts w:asciiTheme="majorHAnsi" w:eastAsia="Times New Roman" w:hAnsiTheme="majorHAnsi" w:cstheme="majorHAnsi"/>
                <w:b w:val="0"/>
                <w:color w:val="000000"/>
                <w:sz w:val="20"/>
                <w:szCs w:val="20"/>
                <w:lang w:val="es-CO" w:eastAsia="es-CO"/>
              </w:rPr>
              <w:t xml:space="preserve"> en </w:t>
            </w:r>
            <w:r w:rsidR="00425AD2" w:rsidRPr="00C97B9C">
              <w:rPr>
                <w:rFonts w:asciiTheme="majorHAnsi" w:eastAsia="Times New Roman" w:hAnsiTheme="majorHAnsi" w:cstheme="majorHAnsi"/>
                <w:b w:val="0"/>
                <w:color w:val="000000"/>
                <w:sz w:val="20"/>
                <w:szCs w:val="20"/>
                <w:lang w:val="es-CO" w:eastAsia="es-CO"/>
              </w:rPr>
              <w:t>página</w:t>
            </w:r>
            <w:r w:rsidRPr="00C97B9C">
              <w:rPr>
                <w:rFonts w:asciiTheme="majorHAnsi" w:eastAsia="Times New Roman" w:hAnsiTheme="majorHAnsi" w:cstheme="majorHAnsi"/>
                <w:b w:val="0"/>
                <w:color w:val="000000"/>
                <w:sz w:val="20"/>
                <w:szCs w:val="20"/>
                <w:lang w:val="es-CO" w:eastAsia="es-CO"/>
              </w:rPr>
              <w:t xml:space="preserve"> web de </w:t>
            </w:r>
            <w:proofErr w:type="spellStart"/>
            <w:r w:rsidRPr="00C97B9C">
              <w:rPr>
                <w:rFonts w:asciiTheme="majorHAnsi" w:eastAsia="Times New Roman" w:hAnsiTheme="majorHAnsi" w:cstheme="majorHAnsi"/>
                <w:b w:val="0"/>
                <w:color w:val="000000"/>
                <w:sz w:val="20"/>
                <w:szCs w:val="20"/>
                <w:lang w:val="es-CO" w:eastAsia="es-CO"/>
              </w:rPr>
              <w:t>Corpamag</w:t>
            </w:r>
            <w:proofErr w:type="spellEnd"/>
            <w:r w:rsidRPr="00C97B9C">
              <w:rPr>
                <w:rFonts w:asciiTheme="majorHAnsi" w:eastAsia="Times New Roman" w:hAnsiTheme="majorHAnsi" w:cstheme="majorHAnsi"/>
                <w:b w:val="0"/>
                <w:color w:val="000000"/>
                <w:sz w:val="20"/>
                <w:szCs w:val="20"/>
                <w:lang w:val="es-CO" w:eastAsia="es-CO"/>
              </w:rPr>
              <w:t>)</w:t>
            </w:r>
          </w:p>
        </w:tc>
        <w:tc>
          <w:tcPr>
            <w:tcW w:w="658" w:type="pct"/>
            <w:tcBorders>
              <w:top w:val="single" w:sz="4" w:space="0" w:color="808080"/>
              <w:left w:val="nil"/>
              <w:bottom w:val="single" w:sz="4" w:space="0" w:color="808080"/>
              <w:right w:val="single" w:sz="4" w:space="0" w:color="808080"/>
            </w:tcBorders>
            <w:shd w:val="clear" w:color="auto" w:fill="auto"/>
            <w:vAlign w:val="center"/>
            <w:hideMark/>
          </w:tcPr>
          <w:p w14:paraId="1220BEC3" w14:textId="77777777" w:rsidR="00A5592E" w:rsidRPr="00A5592E" w:rsidRDefault="00A5592E" w:rsidP="00A5592E">
            <w:pPr>
              <w:spacing w:line="240" w:lineRule="auto"/>
              <w:rPr>
                <w:rFonts w:asciiTheme="majorHAnsi" w:eastAsia="Times New Roman" w:hAnsiTheme="majorHAnsi" w:cstheme="majorHAnsi"/>
                <w:b w:val="0"/>
                <w:color w:val="auto"/>
                <w:sz w:val="20"/>
                <w:szCs w:val="20"/>
                <w:lang w:val="es-CO" w:eastAsia="es-CO"/>
              </w:rPr>
            </w:pPr>
            <w:r w:rsidRPr="00A5592E">
              <w:rPr>
                <w:rFonts w:asciiTheme="majorHAnsi" w:eastAsia="Times New Roman" w:hAnsiTheme="majorHAnsi" w:cstheme="majorHAnsi"/>
                <w:b w:val="0"/>
                <w:color w:val="auto"/>
                <w:sz w:val="20"/>
                <w:szCs w:val="20"/>
                <w:lang w:val="es-CO" w:eastAsia="es-CO"/>
              </w:rPr>
              <w:t xml:space="preserve"> Gestión del Talento Humano</w:t>
            </w:r>
          </w:p>
        </w:tc>
        <w:tc>
          <w:tcPr>
            <w:tcW w:w="931" w:type="pct"/>
            <w:tcBorders>
              <w:top w:val="single" w:sz="4" w:space="0" w:color="808080"/>
              <w:left w:val="nil"/>
              <w:bottom w:val="single" w:sz="4" w:space="0" w:color="808080"/>
              <w:right w:val="single" w:sz="4" w:space="0" w:color="808080"/>
            </w:tcBorders>
            <w:shd w:val="clear" w:color="auto" w:fill="auto"/>
            <w:noWrap/>
            <w:vAlign w:val="center"/>
            <w:hideMark/>
          </w:tcPr>
          <w:p w14:paraId="0D430C65" w14:textId="2557265D" w:rsidR="00A5592E" w:rsidRPr="00A5592E" w:rsidRDefault="00C97B9C" w:rsidP="00A5592E">
            <w:pPr>
              <w:spacing w:line="240" w:lineRule="auto"/>
              <w:rPr>
                <w:rFonts w:asciiTheme="majorHAnsi" w:eastAsia="Times New Roman" w:hAnsiTheme="majorHAnsi" w:cstheme="majorHAnsi"/>
                <w:b w:val="0"/>
                <w:color w:val="000000"/>
                <w:sz w:val="20"/>
                <w:szCs w:val="20"/>
                <w:lang w:val="es-CO" w:eastAsia="es-CO"/>
              </w:rPr>
            </w:pPr>
            <w:r>
              <w:rPr>
                <w:rFonts w:asciiTheme="majorHAnsi" w:eastAsia="Times New Roman" w:hAnsiTheme="majorHAnsi" w:cstheme="majorHAnsi"/>
                <w:b w:val="0"/>
                <w:color w:val="000000"/>
                <w:sz w:val="20"/>
                <w:szCs w:val="20"/>
                <w:lang w:val="es-CO" w:eastAsia="es-CO"/>
              </w:rPr>
              <w:t>30 julio</w:t>
            </w:r>
            <w:r w:rsidR="00A5592E" w:rsidRPr="00A5592E">
              <w:rPr>
                <w:rFonts w:asciiTheme="majorHAnsi" w:eastAsia="Times New Roman" w:hAnsiTheme="majorHAnsi" w:cstheme="majorHAnsi"/>
                <w:b w:val="0"/>
                <w:color w:val="000000"/>
                <w:sz w:val="20"/>
                <w:szCs w:val="20"/>
                <w:lang w:val="es-CO" w:eastAsia="es-CO"/>
              </w:rPr>
              <w:t xml:space="preserve"> de 2022</w:t>
            </w:r>
          </w:p>
        </w:tc>
      </w:tr>
    </w:tbl>
    <w:p w14:paraId="753C3FB0" w14:textId="77777777" w:rsidR="007C545F" w:rsidRDefault="007C545F" w:rsidP="00567FFA">
      <w:pPr>
        <w:autoSpaceDE w:val="0"/>
        <w:autoSpaceDN w:val="0"/>
        <w:adjustRightInd w:val="0"/>
        <w:spacing w:line="240" w:lineRule="auto"/>
        <w:ind w:right="1081"/>
        <w:jc w:val="both"/>
        <w:rPr>
          <w:rFonts w:ascii="FuturaStd-Light" w:hAnsi="FuturaStd-Light" w:cs="FuturaStd-Light"/>
          <w:sz w:val="19"/>
          <w:szCs w:val="19"/>
        </w:rPr>
      </w:pPr>
    </w:p>
    <w:p w14:paraId="236430C9" w14:textId="77777777" w:rsidR="007C545F" w:rsidRDefault="007C545F" w:rsidP="00567FFA">
      <w:pPr>
        <w:autoSpaceDE w:val="0"/>
        <w:autoSpaceDN w:val="0"/>
        <w:adjustRightInd w:val="0"/>
        <w:spacing w:line="240" w:lineRule="auto"/>
        <w:ind w:right="1081"/>
        <w:jc w:val="both"/>
        <w:rPr>
          <w:rFonts w:ascii="FuturaStd-Light" w:hAnsi="FuturaStd-Light" w:cs="FuturaStd-Light"/>
          <w:sz w:val="19"/>
          <w:szCs w:val="19"/>
        </w:rPr>
      </w:pPr>
    </w:p>
    <w:p w14:paraId="55B04D95" w14:textId="664B45BE" w:rsidR="00642020" w:rsidRDefault="00642020">
      <w:pPr>
        <w:spacing w:after="200"/>
        <w:rPr>
          <w:rFonts w:ascii="FuturaStd-Light" w:hAnsi="FuturaStd-Light" w:cs="FuturaStd-Light"/>
          <w:sz w:val="19"/>
          <w:szCs w:val="19"/>
        </w:rPr>
      </w:pPr>
    </w:p>
    <w:sectPr w:rsidR="00642020" w:rsidSect="00C97B9C">
      <w:pgSz w:w="16838" w:h="11906" w:orient="landscape" w:code="9"/>
      <w:pgMar w:top="936" w:right="720" w:bottom="936" w:left="720" w:header="0" w:footer="289"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DF50E" w14:textId="77777777" w:rsidR="00223601" w:rsidRDefault="00223601">
      <w:r>
        <w:separator/>
      </w:r>
    </w:p>
    <w:p w14:paraId="5B5F1C89" w14:textId="77777777" w:rsidR="00223601" w:rsidRDefault="00223601"/>
  </w:endnote>
  <w:endnote w:type="continuationSeparator" w:id="0">
    <w:p w14:paraId="45621B91" w14:textId="77777777" w:rsidR="00223601" w:rsidRDefault="00223601">
      <w:r>
        <w:continuationSeparator/>
      </w:r>
    </w:p>
    <w:p w14:paraId="5FC85F04" w14:textId="77777777" w:rsidR="00223601" w:rsidRDefault="002236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Std-Light">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890194395"/>
      <w:docPartObj>
        <w:docPartGallery w:val="Page Numbers (Bottom of Page)"/>
        <w:docPartUnique/>
      </w:docPartObj>
    </w:sdtPr>
    <w:sdtContent>
      <w:p w14:paraId="046F5E07" w14:textId="77777777" w:rsidR="00905318" w:rsidRDefault="00905318">
        <w:pPr>
          <w:pStyle w:val="Piedepgina"/>
          <w:jc w:val="center"/>
          <w:rPr>
            <w:noProof/>
          </w:rPr>
        </w:pPr>
        <w:r>
          <w:rPr>
            <w:noProof/>
            <w:lang w:val="es-CO" w:eastAsia="es-CO"/>
          </w:rPr>
          <w:drawing>
            <wp:inline distT="0" distB="0" distL="0" distR="0" wp14:anchorId="4606517F" wp14:editId="7B714468">
              <wp:extent cx="6371590" cy="736600"/>
              <wp:effectExtent l="0" t="0" r="0" b="6350"/>
              <wp:docPr id="7" name="Imagen 7" descr="Pie de página que contiene los datos de las redes sociales, página web, logo y slogan de Corpamag." title="Pie de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 de Pá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1590" cy="736600"/>
                      </a:xfrm>
                      <a:prstGeom prst="rect">
                        <a:avLst/>
                      </a:prstGeom>
                    </pic:spPr>
                  </pic:pic>
                </a:graphicData>
              </a:graphic>
            </wp:inline>
          </w:drawing>
        </w:r>
      </w:p>
    </w:sdtContent>
  </w:sdt>
  <w:p w14:paraId="3F76E5F2" w14:textId="77777777" w:rsidR="00905318" w:rsidRDefault="00905318">
    <w:pPr>
      <w:pStyle w:val="Piedepgin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58490" w14:textId="77777777" w:rsidR="00223601" w:rsidRDefault="00223601">
      <w:r>
        <w:separator/>
      </w:r>
    </w:p>
    <w:p w14:paraId="6C0B7B7A" w14:textId="77777777" w:rsidR="00223601" w:rsidRDefault="00223601"/>
  </w:footnote>
  <w:footnote w:type="continuationSeparator" w:id="0">
    <w:p w14:paraId="294F177D" w14:textId="77777777" w:rsidR="00223601" w:rsidRDefault="00223601">
      <w:r>
        <w:continuationSeparator/>
      </w:r>
    </w:p>
    <w:p w14:paraId="5A44CCA8" w14:textId="77777777" w:rsidR="00223601" w:rsidRDefault="0022360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F287D" w14:textId="77777777" w:rsidR="00905318" w:rsidRDefault="00905318"/>
  <w:tbl>
    <w:tblPr>
      <w:tblW w:w="1412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14120"/>
    </w:tblGrid>
    <w:tr w:rsidR="00905318" w14:paraId="06E72AF1" w14:textId="77777777" w:rsidTr="00B126DA">
      <w:trPr>
        <w:trHeight w:val="1061"/>
      </w:trPr>
      <w:tc>
        <w:tcPr>
          <w:tcW w:w="14120" w:type="dxa"/>
          <w:tcBorders>
            <w:top w:val="nil"/>
            <w:left w:val="nil"/>
            <w:bottom w:val="single" w:sz="36" w:space="0" w:color="34ABA2" w:themeColor="accent3"/>
            <w:right w:val="nil"/>
          </w:tcBorders>
        </w:tcPr>
        <w:p w14:paraId="3A81214C" w14:textId="77777777" w:rsidR="00905318" w:rsidRDefault="00905318">
          <w:pPr>
            <w:pStyle w:val="Encabezado"/>
            <w:rPr>
              <w:noProof/>
            </w:rPr>
          </w:pPr>
        </w:p>
      </w:tc>
    </w:tr>
  </w:tbl>
  <w:p w14:paraId="6D671A38" w14:textId="77777777" w:rsidR="00905318" w:rsidRDefault="00905318" w:rsidP="00D077E9">
    <w:pPr>
      <w:pStyle w:val="Encabezado"/>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21092"/>
    <w:multiLevelType w:val="hybridMultilevel"/>
    <w:tmpl w:val="8FECF8EA"/>
    <w:lvl w:ilvl="0" w:tplc="DB9C8BB0">
      <w:start w:val="1"/>
      <w:numFmt w:val="bullet"/>
      <w:lvlText w:val=""/>
      <w:lvlJc w:val="left"/>
      <w:pPr>
        <w:ind w:left="720" w:hanging="360"/>
      </w:pPr>
      <w:rPr>
        <w:rFonts w:ascii="Symbol" w:hAnsi="Symbol" w:hint="default"/>
        <w:color w:val="013A57" w:themeColor="accent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68"/>
    <w:rsid w:val="00000965"/>
    <w:rsid w:val="000024B5"/>
    <w:rsid w:val="000060AF"/>
    <w:rsid w:val="0002482E"/>
    <w:rsid w:val="00043A3F"/>
    <w:rsid w:val="00050324"/>
    <w:rsid w:val="00072014"/>
    <w:rsid w:val="000747A0"/>
    <w:rsid w:val="00080EDB"/>
    <w:rsid w:val="000A0150"/>
    <w:rsid w:val="000C2FAE"/>
    <w:rsid w:val="000D2691"/>
    <w:rsid w:val="000D7859"/>
    <w:rsid w:val="000E63C9"/>
    <w:rsid w:val="00113713"/>
    <w:rsid w:val="00130E9D"/>
    <w:rsid w:val="00150A6D"/>
    <w:rsid w:val="00163E69"/>
    <w:rsid w:val="00185B35"/>
    <w:rsid w:val="001B3FD0"/>
    <w:rsid w:val="001F2BC8"/>
    <w:rsid w:val="001F5F6B"/>
    <w:rsid w:val="002053EB"/>
    <w:rsid w:val="00223601"/>
    <w:rsid w:val="00243EBC"/>
    <w:rsid w:val="00246A35"/>
    <w:rsid w:val="00284348"/>
    <w:rsid w:val="002A46B1"/>
    <w:rsid w:val="002D3A37"/>
    <w:rsid w:val="002F51F5"/>
    <w:rsid w:val="00303322"/>
    <w:rsid w:val="00310BED"/>
    <w:rsid w:val="00312137"/>
    <w:rsid w:val="00316E49"/>
    <w:rsid w:val="00330359"/>
    <w:rsid w:val="0033059A"/>
    <w:rsid w:val="0033762F"/>
    <w:rsid w:val="003402FA"/>
    <w:rsid w:val="00360494"/>
    <w:rsid w:val="00366704"/>
    <w:rsid w:val="00366C7E"/>
    <w:rsid w:val="00377DE3"/>
    <w:rsid w:val="00384EA3"/>
    <w:rsid w:val="003A39A1"/>
    <w:rsid w:val="003C2191"/>
    <w:rsid w:val="003D3863"/>
    <w:rsid w:val="003F19AF"/>
    <w:rsid w:val="004016F1"/>
    <w:rsid w:val="004052A8"/>
    <w:rsid w:val="004110DE"/>
    <w:rsid w:val="004162B8"/>
    <w:rsid w:val="00425AD2"/>
    <w:rsid w:val="00433238"/>
    <w:rsid w:val="0044085A"/>
    <w:rsid w:val="004626C8"/>
    <w:rsid w:val="004B21A5"/>
    <w:rsid w:val="004D20EB"/>
    <w:rsid w:val="004E5FEE"/>
    <w:rsid w:val="005037F0"/>
    <w:rsid w:val="00516A86"/>
    <w:rsid w:val="005275F6"/>
    <w:rsid w:val="00530548"/>
    <w:rsid w:val="00557B0F"/>
    <w:rsid w:val="00567FFA"/>
    <w:rsid w:val="00572102"/>
    <w:rsid w:val="005E12E9"/>
    <w:rsid w:val="005E29F9"/>
    <w:rsid w:val="005F1BB0"/>
    <w:rsid w:val="00613CE8"/>
    <w:rsid w:val="00613EFB"/>
    <w:rsid w:val="00642020"/>
    <w:rsid w:val="00656552"/>
    <w:rsid w:val="00656C4D"/>
    <w:rsid w:val="006579AA"/>
    <w:rsid w:val="0066171E"/>
    <w:rsid w:val="00672E30"/>
    <w:rsid w:val="006853A5"/>
    <w:rsid w:val="006E5716"/>
    <w:rsid w:val="00726E68"/>
    <w:rsid w:val="007302B3"/>
    <w:rsid w:val="00730733"/>
    <w:rsid w:val="007309A6"/>
    <w:rsid w:val="00730E3A"/>
    <w:rsid w:val="00736AAF"/>
    <w:rsid w:val="00746889"/>
    <w:rsid w:val="00751868"/>
    <w:rsid w:val="00765B2A"/>
    <w:rsid w:val="00783A34"/>
    <w:rsid w:val="007A25B1"/>
    <w:rsid w:val="007B3462"/>
    <w:rsid w:val="007C545F"/>
    <w:rsid w:val="007C6B52"/>
    <w:rsid w:val="007D16C5"/>
    <w:rsid w:val="008420C5"/>
    <w:rsid w:val="00862FE4"/>
    <w:rsid w:val="0086389A"/>
    <w:rsid w:val="0087605E"/>
    <w:rsid w:val="00881951"/>
    <w:rsid w:val="008941AE"/>
    <w:rsid w:val="00897068"/>
    <w:rsid w:val="008A1772"/>
    <w:rsid w:val="008A2968"/>
    <w:rsid w:val="008B1FEE"/>
    <w:rsid w:val="008C777D"/>
    <w:rsid w:val="008D250C"/>
    <w:rsid w:val="008F2469"/>
    <w:rsid w:val="00903C32"/>
    <w:rsid w:val="00905318"/>
    <w:rsid w:val="00910CD2"/>
    <w:rsid w:val="00916B16"/>
    <w:rsid w:val="009173B9"/>
    <w:rsid w:val="0093335D"/>
    <w:rsid w:val="0093613E"/>
    <w:rsid w:val="00940BC4"/>
    <w:rsid w:val="00943026"/>
    <w:rsid w:val="009559A4"/>
    <w:rsid w:val="00966B81"/>
    <w:rsid w:val="00967C55"/>
    <w:rsid w:val="00977F79"/>
    <w:rsid w:val="0098371D"/>
    <w:rsid w:val="009C7368"/>
    <w:rsid w:val="009C7720"/>
    <w:rsid w:val="009F04D7"/>
    <w:rsid w:val="00A11CD7"/>
    <w:rsid w:val="00A159D4"/>
    <w:rsid w:val="00A23AFA"/>
    <w:rsid w:val="00A31B3E"/>
    <w:rsid w:val="00A448A2"/>
    <w:rsid w:val="00A532F3"/>
    <w:rsid w:val="00A5592E"/>
    <w:rsid w:val="00A5752B"/>
    <w:rsid w:val="00A8489E"/>
    <w:rsid w:val="00AB02A7"/>
    <w:rsid w:val="00AC29F3"/>
    <w:rsid w:val="00AD750D"/>
    <w:rsid w:val="00B126DA"/>
    <w:rsid w:val="00B231E5"/>
    <w:rsid w:val="00B2663D"/>
    <w:rsid w:val="00B6144D"/>
    <w:rsid w:val="00B75AFB"/>
    <w:rsid w:val="00B819CB"/>
    <w:rsid w:val="00B86FA2"/>
    <w:rsid w:val="00B93B8B"/>
    <w:rsid w:val="00B97757"/>
    <w:rsid w:val="00C01D35"/>
    <w:rsid w:val="00C02B87"/>
    <w:rsid w:val="00C10414"/>
    <w:rsid w:val="00C4086D"/>
    <w:rsid w:val="00C50258"/>
    <w:rsid w:val="00C85E6B"/>
    <w:rsid w:val="00C96EB9"/>
    <w:rsid w:val="00C97B9C"/>
    <w:rsid w:val="00CA1896"/>
    <w:rsid w:val="00CB5B28"/>
    <w:rsid w:val="00CF5371"/>
    <w:rsid w:val="00D0323A"/>
    <w:rsid w:val="00D0559F"/>
    <w:rsid w:val="00D064B5"/>
    <w:rsid w:val="00D077E9"/>
    <w:rsid w:val="00D42CB7"/>
    <w:rsid w:val="00D5413D"/>
    <w:rsid w:val="00D570A9"/>
    <w:rsid w:val="00D70D02"/>
    <w:rsid w:val="00D7357E"/>
    <w:rsid w:val="00D770C7"/>
    <w:rsid w:val="00D777E9"/>
    <w:rsid w:val="00D86945"/>
    <w:rsid w:val="00D90290"/>
    <w:rsid w:val="00DC706A"/>
    <w:rsid w:val="00DD152F"/>
    <w:rsid w:val="00DE213F"/>
    <w:rsid w:val="00DF027C"/>
    <w:rsid w:val="00DF0C53"/>
    <w:rsid w:val="00E00A32"/>
    <w:rsid w:val="00E22ACD"/>
    <w:rsid w:val="00E60C4E"/>
    <w:rsid w:val="00E620B0"/>
    <w:rsid w:val="00E81B40"/>
    <w:rsid w:val="00E86EEC"/>
    <w:rsid w:val="00E94E75"/>
    <w:rsid w:val="00EF555B"/>
    <w:rsid w:val="00F027BB"/>
    <w:rsid w:val="00F11DCF"/>
    <w:rsid w:val="00F162EA"/>
    <w:rsid w:val="00F52D27"/>
    <w:rsid w:val="00F66E23"/>
    <w:rsid w:val="00F83527"/>
    <w:rsid w:val="00FC43EE"/>
    <w:rsid w:val="00FD583F"/>
    <w:rsid w:val="00FD7488"/>
    <w:rsid w:val="00FE03F1"/>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20B75"/>
  <w15:docId w15:val="{AFD22BB1-3D47-48F8-BE19-9E521856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45"/>
    <w:pPr>
      <w:spacing w:after="0"/>
    </w:pPr>
    <w:rPr>
      <w:rFonts w:eastAsiaTheme="minorEastAsia"/>
      <w:b/>
      <w:color w:val="082A75" w:themeColor="text2"/>
      <w:sz w:val="28"/>
      <w:szCs w:val="22"/>
    </w:rPr>
  </w:style>
  <w:style w:type="paragraph" w:styleId="Ttulo1">
    <w:name w:val="heading 1"/>
    <w:basedOn w:val="Normal"/>
    <w:link w:val="Ttulo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tulo2">
    <w:name w:val="heading 2"/>
    <w:basedOn w:val="Normal"/>
    <w:next w:val="Normal"/>
    <w:link w:val="Ttulo2Car"/>
    <w:uiPriority w:val="4"/>
    <w:qFormat/>
    <w:rsid w:val="00DF027C"/>
    <w:pPr>
      <w:keepNext/>
      <w:spacing w:after="240" w:line="240" w:lineRule="auto"/>
      <w:outlineLvl w:val="1"/>
    </w:pPr>
    <w:rPr>
      <w:rFonts w:eastAsiaTheme="majorEastAsia" w:cstheme="majorBidi"/>
      <w:b w:val="0"/>
      <w:sz w:val="3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uiPriority w:val="1"/>
    <w:rsid w:val="00D86945"/>
    <w:rPr>
      <w:rFonts w:asciiTheme="majorHAnsi" w:eastAsiaTheme="majorEastAsia" w:hAnsiTheme="majorHAnsi" w:cstheme="majorBidi"/>
      <w:b/>
      <w:bCs/>
      <w:color w:val="082A75" w:themeColor="text2"/>
      <w:sz w:val="72"/>
      <w:szCs w:val="52"/>
    </w:rPr>
  </w:style>
  <w:style w:type="paragraph" w:styleId="Subttulo">
    <w:name w:val="Subtitle"/>
    <w:basedOn w:val="Normal"/>
    <w:link w:val="SubttuloCar"/>
    <w:uiPriority w:val="2"/>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2"/>
    <w:rsid w:val="00D86945"/>
    <w:rPr>
      <w:rFonts w:eastAsiaTheme="minorEastAsia"/>
      <w:caps/>
      <w:color w:val="082A75" w:themeColor="text2"/>
      <w:spacing w:val="20"/>
      <w:sz w:val="32"/>
      <w:szCs w:val="22"/>
    </w:rPr>
  </w:style>
  <w:style w:type="character" w:customStyle="1" w:styleId="Ttulo1Car">
    <w:name w:val="Título 1 Car"/>
    <w:basedOn w:val="Fuentedeprrafopredeter"/>
    <w:link w:val="Ttulo1"/>
    <w:uiPriority w:val="4"/>
    <w:rsid w:val="00D077E9"/>
    <w:rPr>
      <w:rFonts w:asciiTheme="majorHAnsi" w:eastAsiaTheme="majorEastAsia" w:hAnsiTheme="majorHAnsi" w:cstheme="majorBidi"/>
      <w:b/>
      <w:color w:val="061F57" w:themeColor="text2" w:themeShade="BF"/>
      <w:kern w:val="28"/>
      <w:sz w:val="52"/>
      <w:szCs w:val="32"/>
    </w:rPr>
  </w:style>
  <w:style w:type="paragraph" w:styleId="Encabezado">
    <w:name w:val="header"/>
    <w:basedOn w:val="Normal"/>
    <w:link w:val="EncabezadoCar"/>
    <w:uiPriority w:val="8"/>
    <w:unhideWhenUsed/>
    <w:rsid w:val="005037F0"/>
  </w:style>
  <w:style w:type="character" w:customStyle="1" w:styleId="EncabezadoCar">
    <w:name w:val="Encabezado Car"/>
    <w:basedOn w:val="Fuentedeprrafopredeter"/>
    <w:link w:val="Encabezado"/>
    <w:uiPriority w:val="8"/>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4"/>
    <w:rsid w:val="00DF027C"/>
    <w:rPr>
      <w:rFonts w:eastAsiaTheme="majorEastAsia" w:cstheme="majorBidi"/>
      <w:color w:val="082A75" w:themeColor="text2"/>
      <w:sz w:val="36"/>
      <w:szCs w:val="26"/>
    </w:rPr>
  </w:style>
  <w:style w:type="table" w:styleId="Tablaconcuadrcula">
    <w:name w:val="Table Grid"/>
    <w:basedOn w:val="Tabla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082A75"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082A75" w:themeColor="text2"/>
      <w:sz w:val="28"/>
      <w:szCs w:val="22"/>
    </w:rPr>
  </w:style>
  <w:style w:type="paragraph" w:styleId="Prrafodelista">
    <w:name w:val="List Paragraph"/>
    <w:basedOn w:val="Normal"/>
    <w:uiPriority w:val="34"/>
    <w:qFormat/>
    <w:rsid w:val="00043A3F"/>
    <w:pPr>
      <w:spacing w:after="160" w:line="259" w:lineRule="auto"/>
      <w:ind w:left="720"/>
      <w:contextualSpacing/>
    </w:pPr>
    <w:rPr>
      <w:rFonts w:eastAsiaTheme="minorHAnsi"/>
      <w:b w:val="0"/>
      <w:color w:val="auto"/>
      <w:sz w:val="22"/>
      <w:lang w:val="es-CO"/>
    </w:rPr>
  </w:style>
  <w:style w:type="paragraph" w:styleId="Textonotapie">
    <w:name w:val="footnote text"/>
    <w:basedOn w:val="Normal"/>
    <w:link w:val="TextonotapieCar"/>
    <w:uiPriority w:val="99"/>
    <w:semiHidden/>
    <w:unhideWhenUsed/>
    <w:rsid w:val="00B126DA"/>
    <w:pPr>
      <w:spacing w:line="240" w:lineRule="auto"/>
    </w:pPr>
    <w:rPr>
      <w:sz w:val="20"/>
      <w:szCs w:val="20"/>
    </w:rPr>
  </w:style>
  <w:style w:type="character" w:customStyle="1" w:styleId="TextonotapieCar">
    <w:name w:val="Texto nota pie Car"/>
    <w:basedOn w:val="Fuentedeprrafopredeter"/>
    <w:link w:val="Textonotapie"/>
    <w:uiPriority w:val="99"/>
    <w:semiHidden/>
    <w:rsid w:val="00B126DA"/>
    <w:rPr>
      <w:rFonts w:eastAsiaTheme="minorEastAsia"/>
      <w:b/>
      <w:color w:val="082A75" w:themeColor="text2"/>
      <w:sz w:val="20"/>
      <w:szCs w:val="20"/>
    </w:rPr>
  </w:style>
  <w:style w:type="character" w:styleId="Refdenotaalpie">
    <w:name w:val="footnote reference"/>
    <w:basedOn w:val="Fuentedeprrafopredeter"/>
    <w:uiPriority w:val="99"/>
    <w:semiHidden/>
    <w:unhideWhenUsed/>
    <w:rsid w:val="00B126DA"/>
    <w:rPr>
      <w:vertAlign w:val="superscript"/>
    </w:rPr>
  </w:style>
  <w:style w:type="paragraph" w:styleId="Sinespaciado">
    <w:name w:val="No Spacing"/>
    <w:link w:val="SinespaciadoCar"/>
    <w:uiPriority w:val="1"/>
    <w:qFormat/>
    <w:rsid w:val="00A448A2"/>
    <w:pPr>
      <w:spacing w:after="0" w:line="240" w:lineRule="auto"/>
    </w:pPr>
    <w:rPr>
      <w:rFonts w:eastAsiaTheme="minorEastAsia"/>
      <w:sz w:val="22"/>
      <w:szCs w:val="22"/>
      <w:lang w:val="es-CO" w:eastAsia="es-CO"/>
    </w:rPr>
  </w:style>
  <w:style w:type="character" w:customStyle="1" w:styleId="SinespaciadoCar">
    <w:name w:val="Sin espaciado Car"/>
    <w:basedOn w:val="Fuentedeprrafopredeter"/>
    <w:link w:val="Sinespaciado"/>
    <w:uiPriority w:val="1"/>
    <w:rsid w:val="00A448A2"/>
    <w:rPr>
      <w:rFonts w:eastAsiaTheme="minorEastAsia"/>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7611">
      <w:bodyDiv w:val="1"/>
      <w:marLeft w:val="0"/>
      <w:marRight w:val="0"/>
      <w:marTop w:val="0"/>
      <w:marBottom w:val="0"/>
      <w:divBdr>
        <w:top w:val="none" w:sz="0" w:space="0" w:color="auto"/>
        <w:left w:val="none" w:sz="0" w:space="0" w:color="auto"/>
        <w:bottom w:val="none" w:sz="0" w:space="0" w:color="auto"/>
        <w:right w:val="none" w:sz="0" w:space="0" w:color="auto"/>
      </w:divBdr>
    </w:div>
    <w:div w:id="48504055">
      <w:bodyDiv w:val="1"/>
      <w:marLeft w:val="0"/>
      <w:marRight w:val="0"/>
      <w:marTop w:val="0"/>
      <w:marBottom w:val="0"/>
      <w:divBdr>
        <w:top w:val="none" w:sz="0" w:space="0" w:color="auto"/>
        <w:left w:val="none" w:sz="0" w:space="0" w:color="auto"/>
        <w:bottom w:val="none" w:sz="0" w:space="0" w:color="auto"/>
        <w:right w:val="none" w:sz="0" w:space="0" w:color="auto"/>
      </w:divBdr>
    </w:div>
    <w:div w:id="83306439">
      <w:bodyDiv w:val="1"/>
      <w:marLeft w:val="0"/>
      <w:marRight w:val="0"/>
      <w:marTop w:val="0"/>
      <w:marBottom w:val="0"/>
      <w:divBdr>
        <w:top w:val="none" w:sz="0" w:space="0" w:color="auto"/>
        <w:left w:val="none" w:sz="0" w:space="0" w:color="auto"/>
        <w:bottom w:val="none" w:sz="0" w:space="0" w:color="auto"/>
        <w:right w:val="none" w:sz="0" w:space="0" w:color="auto"/>
      </w:divBdr>
    </w:div>
    <w:div w:id="141703493">
      <w:bodyDiv w:val="1"/>
      <w:marLeft w:val="0"/>
      <w:marRight w:val="0"/>
      <w:marTop w:val="0"/>
      <w:marBottom w:val="0"/>
      <w:divBdr>
        <w:top w:val="none" w:sz="0" w:space="0" w:color="auto"/>
        <w:left w:val="none" w:sz="0" w:space="0" w:color="auto"/>
        <w:bottom w:val="none" w:sz="0" w:space="0" w:color="auto"/>
        <w:right w:val="none" w:sz="0" w:space="0" w:color="auto"/>
      </w:divBdr>
    </w:div>
    <w:div w:id="177283135">
      <w:bodyDiv w:val="1"/>
      <w:marLeft w:val="0"/>
      <w:marRight w:val="0"/>
      <w:marTop w:val="0"/>
      <w:marBottom w:val="0"/>
      <w:divBdr>
        <w:top w:val="none" w:sz="0" w:space="0" w:color="auto"/>
        <w:left w:val="none" w:sz="0" w:space="0" w:color="auto"/>
        <w:bottom w:val="none" w:sz="0" w:space="0" w:color="auto"/>
        <w:right w:val="none" w:sz="0" w:space="0" w:color="auto"/>
      </w:divBdr>
    </w:div>
    <w:div w:id="198863814">
      <w:bodyDiv w:val="1"/>
      <w:marLeft w:val="0"/>
      <w:marRight w:val="0"/>
      <w:marTop w:val="0"/>
      <w:marBottom w:val="0"/>
      <w:divBdr>
        <w:top w:val="none" w:sz="0" w:space="0" w:color="auto"/>
        <w:left w:val="none" w:sz="0" w:space="0" w:color="auto"/>
        <w:bottom w:val="none" w:sz="0" w:space="0" w:color="auto"/>
        <w:right w:val="none" w:sz="0" w:space="0" w:color="auto"/>
      </w:divBdr>
    </w:div>
    <w:div w:id="245457346">
      <w:bodyDiv w:val="1"/>
      <w:marLeft w:val="0"/>
      <w:marRight w:val="0"/>
      <w:marTop w:val="0"/>
      <w:marBottom w:val="0"/>
      <w:divBdr>
        <w:top w:val="none" w:sz="0" w:space="0" w:color="auto"/>
        <w:left w:val="none" w:sz="0" w:space="0" w:color="auto"/>
        <w:bottom w:val="none" w:sz="0" w:space="0" w:color="auto"/>
        <w:right w:val="none" w:sz="0" w:space="0" w:color="auto"/>
      </w:divBdr>
    </w:div>
    <w:div w:id="261256853">
      <w:bodyDiv w:val="1"/>
      <w:marLeft w:val="0"/>
      <w:marRight w:val="0"/>
      <w:marTop w:val="0"/>
      <w:marBottom w:val="0"/>
      <w:divBdr>
        <w:top w:val="none" w:sz="0" w:space="0" w:color="auto"/>
        <w:left w:val="none" w:sz="0" w:space="0" w:color="auto"/>
        <w:bottom w:val="none" w:sz="0" w:space="0" w:color="auto"/>
        <w:right w:val="none" w:sz="0" w:space="0" w:color="auto"/>
      </w:divBdr>
    </w:div>
    <w:div w:id="317659935">
      <w:bodyDiv w:val="1"/>
      <w:marLeft w:val="0"/>
      <w:marRight w:val="0"/>
      <w:marTop w:val="0"/>
      <w:marBottom w:val="0"/>
      <w:divBdr>
        <w:top w:val="none" w:sz="0" w:space="0" w:color="auto"/>
        <w:left w:val="none" w:sz="0" w:space="0" w:color="auto"/>
        <w:bottom w:val="none" w:sz="0" w:space="0" w:color="auto"/>
        <w:right w:val="none" w:sz="0" w:space="0" w:color="auto"/>
      </w:divBdr>
    </w:div>
    <w:div w:id="488593983">
      <w:bodyDiv w:val="1"/>
      <w:marLeft w:val="0"/>
      <w:marRight w:val="0"/>
      <w:marTop w:val="0"/>
      <w:marBottom w:val="0"/>
      <w:divBdr>
        <w:top w:val="none" w:sz="0" w:space="0" w:color="auto"/>
        <w:left w:val="none" w:sz="0" w:space="0" w:color="auto"/>
        <w:bottom w:val="none" w:sz="0" w:space="0" w:color="auto"/>
        <w:right w:val="none" w:sz="0" w:space="0" w:color="auto"/>
      </w:divBdr>
    </w:div>
    <w:div w:id="514079540">
      <w:bodyDiv w:val="1"/>
      <w:marLeft w:val="0"/>
      <w:marRight w:val="0"/>
      <w:marTop w:val="0"/>
      <w:marBottom w:val="0"/>
      <w:divBdr>
        <w:top w:val="none" w:sz="0" w:space="0" w:color="auto"/>
        <w:left w:val="none" w:sz="0" w:space="0" w:color="auto"/>
        <w:bottom w:val="none" w:sz="0" w:space="0" w:color="auto"/>
        <w:right w:val="none" w:sz="0" w:space="0" w:color="auto"/>
      </w:divBdr>
    </w:div>
    <w:div w:id="523980608">
      <w:bodyDiv w:val="1"/>
      <w:marLeft w:val="0"/>
      <w:marRight w:val="0"/>
      <w:marTop w:val="0"/>
      <w:marBottom w:val="0"/>
      <w:divBdr>
        <w:top w:val="none" w:sz="0" w:space="0" w:color="auto"/>
        <w:left w:val="none" w:sz="0" w:space="0" w:color="auto"/>
        <w:bottom w:val="none" w:sz="0" w:space="0" w:color="auto"/>
        <w:right w:val="none" w:sz="0" w:space="0" w:color="auto"/>
      </w:divBdr>
    </w:div>
    <w:div w:id="593826719">
      <w:bodyDiv w:val="1"/>
      <w:marLeft w:val="0"/>
      <w:marRight w:val="0"/>
      <w:marTop w:val="0"/>
      <w:marBottom w:val="0"/>
      <w:divBdr>
        <w:top w:val="none" w:sz="0" w:space="0" w:color="auto"/>
        <w:left w:val="none" w:sz="0" w:space="0" w:color="auto"/>
        <w:bottom w:val="none" w:sz="0" w:space="0" w:color="auto"/>
        <w:right w:val="none" w:sz="0" w:space="0" w:color="auto"/>
      </w:divBdr>
    </w:div>
    <w:div w:id="614602950">
      <w:bodyDiv w:val="1"/>
      <w:marLeft w:val="0"/>
      <w:marRight w:val="0"/>
      <w:marTop w:val="0"/>
      <w:marBottom w:val="0"/>
      <w:divBdr>
        <w:top w:val="none" w:sz="0" w:space="0" w:color="auto"/>
        <w:left w:val="none" w:sz="0" w:space="0" w:color="auto"/>
        <w:bottom w:val="none" w:sz="0" w:space="0" w:color="auto"/>
        <w:right w:val="none" w:sz="0" w:space="0" w:color="auto"/>
      </w:divBdr>
    </w:div>
    <w:div w:id="749229962">
      <w:bodyDiv w:val="1"/>
      <w:marLeft w:val="0"/>
      <w:marRight w:val="0"/>
      <w:marTop w:val="0"/>
      <w:marBottom w:val="0"/>
      <w:divBdr>
        <w:top w:val="none" w:sz="0" w:space="0" w:color="auto"/>
        <w:left w:val="none" w:sz="0" w:space="0" w:color="auto"/>
        <w:bottom w:val="none" w:sz="0" w:space="0" w:color="auto"/>
        <w:right w:val="none" w:sz="0" w:space="0" w:color="auto"/>
      </w:divBdr>
    </w:div>
    <w:div w:id="770785961">
      <w:bodyDiv w:val="1"/>
      <w:marLeft w:val="0"/>
      <w:marRight w:val="0"/>
      <w:marTop w:val="0"/>
      <w:marBottom w:val="0"/>
      <w:divBdr>
        <w:top w:val="none" w:sz="0" w:space="0" w:color="auto"/>
        <w:left w:val="none" w:sz="0" w:space="0" w:color="auto"/>
        <w:bottom w:val="none" w:sz="0" w:space="0" w:color="auto"/>
        <w:right w:val="none" w:sz="0" w:space="0" w:color="auto"/>
      </w:divBdr>
    </w:div>
    <w:div w:id="871579364">
      <w:bodyDiv w:val="1"/>
      <w:marLeft w:val="0"/>
      <w:marRight w:val="0"/>
      <w:marTop w:val="0"/>
      <w:marBottom w:val="0"/>
      <w:divBdr>
        <w:top w:val="none" w:sz="0" w:space="0" w:color="auto"/>
        <w:left w:val="none" w:sz="0" w:space="0" w:color="auto"/>
        <w:bottom w:val="none" w:sz="0" w:space="0" w:color="auto"/>
        <w:right w:val="none" w:sz="0" w:space="0" w:color="auto"/>
      </w:divBdr>
    </w:div>
    <w:div w:id="895161669">
      <w:bodyDiv w:val="1"/>
      <w:marLeft w:val="0"/>
      <w:marRight w:val="0"/>
      <w:marTop w:val="0"/>
      <w:marBottom w:val="0"/>
      <w:divBdr>
        <w:top w:val="none" w:sz="0" w:space="0" w:color="auto"/>
        <w:left w:val="none" w:sz="0" w:space="0" w:color="auto"/>
        <w:bottom w:val="none" w:sz="0" w:space="0" w:color="auto"/>
        <w:right w:val="none" w:sz="0" w:space="0" w:color="auto"/>
      </w:divBdr>
    </w:div>
    <w:div w:id="973828802">
      <w:bodyDiv w:val="1"/>
      <w:marLeft w:val="0"/>
      <w:marRight w:val="0"/>
      <w:marTop w:val="0"/>
      <w:marBottom w:val="0"/>
      <w:divBdr>
        <w:top w:val="none" w:sz="0" w:space="0" w:color="auto"/>
        <w:left w:val="none" w:sz="0" w:space="0" w:color="auto"/>
        <w:bottom w:val="none" w:sz="0" w:space="0" w:color="auto"/>
        <w:right w:val="none" w:sz="0" w:space="0" w:color="auto"/>
      </w:divBdr>
    </w:div>
    <w:div w:id="1120535595">
      <w:bodyDiv w:val="1"/>
      <w:marLeft w:val="0"/>
      <w:marRight w:val="0"/>
      <w:marTop w:val="0"/>
      <w:marBottom w:val="0"/>
      <w:divBdr>
        <w:top w:val="none" w:sz="0" w:space="0" w:color="auto"/>
        <w:left w:val="none" w:sz="0" w:space="0" w:color="auto"/>
        <w:bottom w:val="none" w:sz="0" w:space="0" w:color="auto"/>
        <w:right w:val="none" w:sz="0" w:space="0" w:color="auto"/>
      </w:divBdr>
    </w:div>
    <w:div w:id="1162891624">
      <w:bodyDiv w:val="1"/>
      <w:marLeft w:val="0"/>
      <w:marRight w:val="0"/>
      <w:marTop w:val="0"/>
      <w:marBottom w:val="0"/>
      <w:divBdr>
        <w:top w:val="none" w:sz="0" w:space="0" w:color="auto"/>
        <w:left w:val="none" w:sz="0" w:space="0" w:color="auto"/>
        <w:bottom w:val="none" w:sz="0" w:space="0" w:color="auto"/>
        <w:right w:val="none" w:sz="0" w:space="0" w:color="auto"/>
      </w:divBdr>
    </w:div>
    <w:div w:id="1478692356">
      <w:bodyDiv w:val="1"/>
      <w:marLeft w:val="0"/>
      <w:marRight w:val="0"/>
      <w:marTop w:val="0"/>
      <w:marBottom w:val="0"/>
      <w:divBdr>
        <w:top w:val="none" w:sz="0" w:space="0" w:color="auto"/>
        <w:left w:val="none" w:sz="0" w:space="0" w:color="auto"/>
        <w:bottom w:val="none" w:sz="0" w:space="0" w:color="auto"/>
        <w:right w:val="none" w:sz="0" w:space="0" w:color="auto"/>
      </w:divBdr>
    </w:div>
    <w:div w:id="1556433469">
      <w:bodyDiv w:val="1"/>
      <w:marLeft w:val="0"/>
      <w:marRight w:val="0"/>
      <w:marTop w:val="0"/>
      <w:marBottom w:val="0"/>
      <w:divBdr>
        <w:top w:val="none" w:sz="0" w:space="0" w:color="auto"/>
        <w:left w:val="none" w:sz="0" w:space="0" w:color="auto"/>
        <w:bottom w:val="none" w:sz="0" w:space="0" w:color="auto"/>
        <w:right w:val="none" w:sz="0" w:space="0" w:color="auto"/>
      </w:divBdr>
    </w:div>
    <w:div w:id="1624000198">
      <w:bodyDiv w:val="1"/>
      <w:marLeft w:val="0"/>
      <w:marRight w:val="0"/>
      <w:marTop w:val="0"/>
      <w:marBottom w:val="0"/>
      <w:divBdr>
        <w:top w:val="none" w:sz="0" w:space="0" w:color="auto"/>
        <w:left w:val="none" w:sz="0" w:space="0" w:color="auto"/>
        <w:bottom w:val="none" w:sz="0" w:space="0" w:color="auto"/>
        <w:right w:val="none" w:sz="0" w:space="0" w:color="auto"/>
      </w:divBdr>
    </w:div>
    <w:div w:id="1641954602">
      <w:bodyDiv w:val="1"/>
      <w:marLeft w:val="0"/>
      <w:marRight w:val="0"/>
      <w:marTop w:val="0"/>
      <w:marBottom w:val="0"/>
      <w:divBdr>
        <w:top w:val="none" w:sz="0" w:space="0" w:color="auto"/>
        <w:left w:val="none" w:sz="0" w:space="0" w:color="auto"/>
        <w:bottom w:val="none" w:sz="0" w:space="0" w:color="auto"/>
        <w:right w:val="none" w:sz="0" w:space="0" w:color="auto"/>
      </w:divBdr>
    </w:div>
    <w:div w:id="1673332504">
      <w:bodyDiv w:val="1"/>
      <w:marLeft w:val="0"/>
      <w:marRight w:val="0"/>
      <w:marTop w:val="0"/>
      <w:marBottom w:val="0"/>
      <w:divBdr>
        <w:top w:val="none" w:sz="0" w:space="0" w:color="auto"/>
        <w:left w:val="none" w:sz="0" w:space="0" w:color="auto"/>
        <w:bottom w:val="none" w:sz="0" w:space="0" w:color="auto"/>
        <w:right w:val="none" w:sz="0" w:space="0" w:color="auto"/>
      </w:divBdr>
    </w:div>
    <w:div w:id="1682704417">
      <w:bodyDiv w:val="1"/>
      <w:marLeft w:val="0"/>
      <w:marRight w:val="0"/>
      <w:marTop w:val="0"/>
      <w:marBottom w:val="0"/>
      <w:divBdr>
        <w:top w:val="none" w:sz="0" w:space="0" w:color="auto"/>
        <w:left w:val="none" w:sz="0" w:space="0" w:color="auto"/>
        <w:bottom w:val="none" w:sz="0" w:space="0" w:color="auto"/>
        <w:right w:val="none" w:sz="0" w:space="0" w:color="auto"/>
      </w:divBdr>
    </w:div>
    <w:div w:id="1744790022">
      <w:bodyDiv w:val="1"/>
      <w:marLeft w:val="0"/>
      <w:marRight w:val="0"/>
      <w:marTop w:val="0"/>
      <w:marBottom w:val="0"/>
      <w:divBdr>
        <w:top w:val="none" w:sz="0" w:space="0" w:color="auto"/>
        <w:left w:val="none" w:sz="0" w:space="0" w:color="auto"/>
        <w:bottom w:val="none" w:sz="0" w:space="0" w:color="auto"/>
        <w:right w:val="none" w:sz="0" w:space="0" w:color="auto"/>
      </w:divBdr>
    </w:div>
    <w:div w:id="1754471213">
      <w:bodyDiv w:val="1"/>
      <w:marLeft w:val="0"/>
      <w:marRight w:val="0"/>
      <w:marTop w:val="0"/>
      <w:marBottom w:val="0"/>
      <w:divBdr>
        <w:top w:val="none" w:sz="0" w:space="0" w:color="auto"/>
        <w:left w:val="none" w:sz="0" w:space="0" w:color="auto"/>
        <w:bottom w:val="none" w:sz="0" w:space="0" w:color="auto"/>
        <w:right w:val="none" w:sz="0" w:space="0" w:color="auto"/>
      </w:divBdr>
    </w:div>
    <w:div w:id="1777945941">
      <w:bodyDiv w:val="1"/>
      <w:marLeft w:val="0"/>
      <w:marRight w:val="0"/>
      <w:marTop w:val="0"/>
      <w:marBottom w:val="0"/>
      <w:divBdr>
        <w:top w:val="none" w:sz="0" w:space="0" w:color="auto"/>
        <w:left w:val="none" w:sz="0" w:space="0" w:color="auto"/>
        <w:bottom w:val="none" w:sz="0" w:space="0" w:color="auto"/>
        <w:right w:val="none" w:sz="0" w:space="0" w:color="auto"/>
      </w:divBdr>
    </w:div>
    <w:div w:id="1791169996">
      <w:bodyDiv w:val="1"/>
      <w:marLeft w:val="0"/>
      <w:marRight w:val="0"/>
      <w:marTop w:val="0"/>
      <w:marBottom w:val="0"/>
      <w:divBdr>
        <w:top w:val="none" w:sz="0" w:space="0" w:color="auto"/>
        <w:left w:val="none" w:sz="0" w:space="0" w:color="auto"/>
        <w:bottom w:val="none" w:sz="0" w:space="0" w:color="auto"/>
        <w:right w:val="none" w:sz="0" w:space="0" w:color="auto"/>
      </w:divBdr>
    </w:div>
    <w:div w:id="1813404745">
      <w:bodyDiv w:val="1"/>
      <w:marLeft w:val="0"/>
      <w:marRight w:val="0"/>
      <w:marTop w:val="0"/>
      <w:marBottom w:val="0"/>
      <w:divBdr>
        <w:top w:val="none" w:sz="0" w:space="0" w:color="auto"/>
        <w:left w:val="none" w:sz="0" w:space="0" w:color="auto"/>
        <w:bottom w:val="none" w:sz="0" w:space="0" w:color="auto"/>
        <w:right w:val="none" w:sz="0" w:space="0" w:color="auto"/>
      </w:divBdr>
    </w:div>
    <w:div w:id="1814714329">
      <w:bodyDiv w:val="1"/>
      <w:marLeft w:val="0"/>
      <w:marRight w:val="0"/>
      <w:marTop w:val="0"/>
      <w:marBottom w:val="0"/>
      <w:divBdr>
        <w:top w:val="none" w:sz="0" w:space="0" w:color="auto"/>
        <w:left w:val="none" w:sz="0" w:space="0" w:color="auto"/>
        <w:bottom w:val="none" w:sz="0" w:space="0" w:color="auto"/>
        <w:right w:val="none" w:sz="0" w:space="0" w:color="auto"/>
      </w:divBdr>
    </w:div>
    <w:div w:id="1822850127">
      <w:bodyDiv w:val="1"/>
      <w:marLeft w:val="0"/>
      <w:marRight w:val="0"/>
      <w:marTop w:val="0"/>
      <w:marBottom w:val="0"/>
      <w:divBdr>
        <w:top w:val="none" w:sz="0" w:space="0" w:color="auto"/>
        <w:left w:val="none" w:sz="0" w:space="0" w:color="auto"/>
        <w:bottom w:val="none" w:sz="0" w:space="0" w:color="auto"/>
        <w:right w:val="none" w:sz="0" w:space="0" w:color="auto"/>
      </w:divBdr>
    </w:div>
    <w:div w:id="1915821487">
      <w:bodyDiv w:val="1"/>
      <w:marLeft w:val="0"/>
      <w:marRight w:val="0"/>
      <w:marTop w:val="0"/>
      <w:marBottom w:val="0"/>
      <w:divBdr>
        <w:top w:val="none" w:sz="0" w:space="0" w:color="auto"/>
        <w:left w:val="none" w:sz="0" w:space="0" w:color="auto"/>
        <w:bottom w:val="none" w:sz="0" w:space="0" w:color="auto"/>
        <w:right w:val="none" w:sz="0" w:space="0" w:color="auto"/>
      </w:divBdr>
    </w:div>
    <w:div w:id="1923828260">
      <w:bodyDiv w:val="1"/>
      <w:marLeft w:val="0"/>
      <w:marRight w:val="0"/>
      <w:marTop w:val="0"/>
      <w:marBottom w:val="0"/>
      <w:divBdr>
        <w:top w:val="none" w:sz="0" w:space="0" w:color="auto"/>
        <w:left w:val="none" w:sz="0" w:space="0" w:color="auto"/>
        <w:bottom w:val="none" w:sz="0" w:space="0" w:color="auto"/>
        <w:right w:val="none" w:sz="0" w:space="0" w:color="auto"/>
      </w:divBdr>
    </w:div>
    <w:div w:id="2080589260">
      <w:bodyDiv w:val="1"/>
      <w:marLeft w:val="0"/>
      <w:marRight w:val="0"/>
      <w:marTop w:val="0"/>
      <w:marBottom w:val="0"/>
      <w:divBdr>
        <w:top w:val="none" w:sz="0" w:space="0" w:color="auto"/>
        <w:left w:val="none" w:sz="0" w:space="0" w:color="auto"/>
        <w:bottom w:val="none" w:sz="0" w:space="0" w:color="auto"/>
        <w:right w:val="none" w:sz="0" w:space="0" w:color="auto"/>
      </w:divBdr>
    </w:div>
    <w:div w:id="2088651756">
      <w:bodyDiv w:val="1"/>
      <w:marLeft w:val="0"/>
      <w:marRight w:val="0"/>
      <w:marTop w:val="0"/>
      <w:marBottom w:val="0"/>
      <w:divBdr>
        <w:top w:val="none" w:sz="0" w:space="0" w:color="auto"/>
        <w:left w:val="none" w:sz="0" w:space="0" w:color="auto"/>
        <w:bottom w:val="none" w:sz="0" w:space="0" w:color="auto"/>
        <w:right w:val="none" w:sz="0" w:space="0" w:color="auto"/>
      </w:divBdr>
    </w:div>
    <w:div w:id="2135168438">
      <w:bodyDiv w:val="1"/>
      <w:marLeft w:val="0"/>
      <w:marRight w:val="0"/>
      <w:marTop w:val="0"/>
      <w:marBottom w:val="0"/>
      <w:divBdr>
        <w:top w:val="none" w:sz="0" w:space="0" w:color="auto"/>
        <w:left w:val="none" w:sz="0" w:space="0" w:color="auto"/>
        <w:bottom w:val="none" w:sz="0" w:space="0" w:color="auto"/>
        <w:right w:val="none" w:sz="0" w:space="0" w:color="auto"/>
      </w:divBdr>
    </w:div>
    <w:div w:id="213675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Informe%20.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403CBF-AB23-4357-A105-D5B4B3FBFC39}" type="doc">
      <dgm:prSet loTypeId="urn:microsoft.com/office/officeart/2005/8/layout/cycle6" loCatId="cycle" qsTypeId="urn:microsoft.com/office/officeart/2005/8/quickstyle/simple4" qsCatId="simple" csTypeId="urn:microsoft.com/office/officeart/2005/8/colors/accent1_2" csCatId="accent1" phldr="1"/>
      <dgm:spPr/>
      <dgm:t>
        <a:bodyPr/>
        <a:lstStyle/>
        <a:p>
          <a:endParaRPr lang="es-CO"/>
        </a:p>
      </dgm:t>
    </dgm:pt>
    <dgm:pt modelId="{8E21BC76-C266-4BA5-B9E5-D75A02A7C855}">
      <dgm:prSet phldrT="[Texto]" custT="1"/>
      <dgm:spPr/>
      <dgm:t>
        <a:bodyPr/>
        <a:lstStyle/>
        <a:p>
          <a:pPr algn="ctr"/>
          <a:r>
            <a:rPr lang="es-CO" sz="1000" b="1">
              <a:latin typeface="+mj-lt"/>
            </a:rPr>
            <a:t>1. Gestión del Riesgo de Corrupción</a:t>
          </a:r>
        </a:p>
      </dgm:t>
    </dgm:pt>
    <dgm:pt modelId="{22537FDF-4875-49BF-857C-2A34D8F16D7A}" type="parTrans" cxnId="{BFF65848-3847-45DB-9415-31CD07999565}">
      <dgm:prSet/>
      <dgm:spPr/>
      <dgm:t>
        <a:bodyPr/>
        <a:lstStyle/>
        <a:p>
          <a:pPr algn="ctr"/>
          <a:endParaRPr lang="es-CO" sz="1200">
            <a:solidFill>
              <a:schemeClr val="tx1">
                <a:lumMod val="95000"/>
                <a:lumOff val="5000"/>
              </a:schemeClr>
            </a:solidFill>
          </a:endParaRPr>
        </a:p>
      </dgm:t>
    </dgm:pt>
    <dgm:pt modelId="{322FEEF6-0992-479E-A389-A3FD8D72D8DE}" type="sibTrans" cxnId="{BFF65848-3847-45DB-9415-31CD07999565}">
      <dgm:prSet/>
      <dgm:spPr/>
      <dgm:t>
        <a:bodyPr/>
        <a:lstStyle/>
        <a:p>
          <a:pPr algn="ctr"/>
          <a:endParaRPr lang="es-CO" sz="1200">
            <a:solidFill>
              <a:schemeClr val="tx1">
                <a:lumMod val="95000"/>
                <a:lumOff val="5000"/>
              </a:schemeClr>
            </a:solidFill>
          </a:endParaRPr>
        </a:p>
      </dgm:t>
    </dgm:pt>
    <dgm:pt modelId="{09398D47-94A6-4CCB-BD57-89C7B1521AB5}">
      <dgm:prSet phldrT="[Texto]" custT="1"/>
      <dgm:spPr/>
      <dgm:t>
        <a:bodyPr/>
        <a:lstStyle/>
        <a:p>
          <a:pPr algn="ctr"/>
          <a:r>
            <a:rPr lang="es-CO" sz="1000" b="1">
              <a:latin typeface="+mj-lt"/>
            </a:rPr>
            <a:t>2. Racionalización de Tramites</a:t>
          </a:r>
        </a:p>
      </dgm:t>
    </dgm:pt>
    <dgm:pt modelId="{27987AFA-85C9-4FDC-8480-3C3CD6CA1E0F}" type="parTrans" cxnId="{668530A4-310A-4F0D-812F-CB0315B07BD9}">
      <dgm:prSet/>
      <dgm:spPr/>
      <dgm:t>
        <a:bodyPr/>
        <a:lstStyle/>
        <a:p>
          <a:pPr algn="ctr"/>
          <a:endParaRPr lang="es-CO" sz="1200">
            <a:solidFill>
              <a:schemeClr val="tx1">
                <a:lumMod val="95000"/>
                <a:lumOff val="5000"/>
              </a:schemeClr>
            </a:solidFill>
          </a:endParaRPr>
        </a:p>
      </dgm:t>
    </dgm:pt>
    <dgm:pt modelId="{3F3CA132-283D-4629-9605-E3ADDC17D19C}" type="sibTrans" cxnId="{668530A4-310A-4F0D-812F-CB0315B07BD9}">
      <dgm:prSet/>
      <dgm:spPr/>
      <dgm:t>
        <a:bodyPr/>
        <a:lstStyle/>
        <a:p>
          <a:pPr algn="ctr"/>
          <a:endParaRPr lang="es-CO" sz="1200">
            <a:solidFill>
              <a:schemeClr val="tx1">
                <a:lumMod val="95000"/>
                <a:lumOff val="5000"/>
              </a:schemeClr>
            </a:solidFill>
          </a:endParaRPr>
        </a:p>
      </dgm:t>
    </dgm:pt>
    <dgm:pt modelId="{AE795057-D0E0-4AC8-84EC-88A01723FC79}">
      <dgm:prSet phldrT="[Texto]" custT="1"/>
      <dgm:spPr/>
      <dgm:t>
        <a:bodyPr/>
        <a:lstStyle/>
        <a:p>
          <a:pPr algn="ctr"/>
          <a:r>
            <a:rPr lang="es-CO" sz="1000" b="1">
              <a:latin typeface="+mj-lt"/>
            </a:rPr>
            <a:t>3. Rendición de Cuentas</a:t>
          </a:r>
        </a:p>
      </dgm:t>
    </dgm:pt>
    <dgm:pt modelId="{46802252-2744-4D75-9FC9-1C12A2B4E659}" type="parTrans" cxnId="{0855C0EB-54CF-4E44-9332-4D17811DECF5}">
      <dgm:prSet/>
      <dgm:spPr/>
      <dgm:t>
        <a:bodyPr/>
        <a:lstStyle/>
        <a:p>
          <a:pPr algn="ctr"/>
          <a:endParaRPr lang="es-CO" sz="1200">
            <a:solidFill>
              <a:schemeClr val="tx1">
                <a:lumMod val="95000"/>
                <a:lumOff val="5000"/>
              </a:schemeClr>
            </a:solidFill>
          </a:endParaRPr>
        </a:p>
      </dgm:t>
    </dgm:pt>
    <dgm:pt modelId="{F253A81F-D01D-4400-BE77-26FDD5E14320}" type="sibTrans" cxnId="{0855C0EB-54CF-4E44-9332-4D17811DECF5}">
      <dgm:prSet/>
      <dgm:spPr/>
      <dgm:t>
        <a:bodyPr/>
        <a:lstStyle/>
        <a:p>
          <a:pPr algn="ctr"/>
          <a:endParaRPr lang="es-CO" sz="1200">
            <a:solidFill>
              <a:schemeClr val="tx1">
                <a:lumMod val="95000"/>
                <a:lumOff val="5000"/>
              </a:schemeClr>
            </a:solidFill>
          </a:endParaRPr>
        </a:p>
      </dgm:t>
    </dgm:pt>
    <dgm:pt modelId="{7779B574-1D08-4DB1-9384-2AFC9B131AC7}">
      <dgm:prSet phldrT="[Texto]" custT="1"/>
      <dgm:spPr/>
      <dgm:t>
        <a:bodyPr/>
        <a:lstStyle/>
        <a:p>
          <a:pPr algn="ctr"/>
          <a:r>
            <a:rPr lang="es-CO" sz="1000" b="1">
              <a:latin typeface="+mj-lt"/>
            </a:rPr>
            <a:t>4. Mecanismos para Mejorar la Atención al ciudadano</a:t>
          </a:r>
        </a:p>
      </dgm:t>
    </dgm:pt>
    <dgm:pt modelId="{5BB3474B-C304-4E29-A6F0-E789A3A1D4EF}" type="parTrans" cxnId="{860308E4-F9CA-4D90-8F4A-C6B4DE51B8BD}">
      <dgm:prSet/>
      <dgm:spPr/>
      <dgm:t>
        <a:bodyPr/>
        <a:lstStyle/>
        <a:p>
          <a:pPr algn="ctr"/>
          <a:endParaRPr lang="es-CO" sz="1200">
            <a:solidFill>
              <a:schemeClr val="tx1">
                <a:lumMod val="95000"/>
                <a:lumOff val="5000"/>
              </a:schemeClr>
            </a:solidFill>
          </a:endParaRPr>
        </a:p>
      </dgm:t>
    </dgm:pt>
    <dgm:pt modelId="{BB1D36C0-BBA1-4E71-9E27-22E7BEEC271C}" type="sibTrans" cxnId="{860308E4-F9CA-4D90-8F4A-C6B4DE51B8BD}">
      <dgm:prSet/>
      <dgm:spPr/>
      <dgm:t>
        <a:bodyPr/>
        <a:lstStyle/>
        <a:p>
          <a:pPr algn="ctr"/>
          <a:endParaRPr lang="es-CO" sz="1200">
            <a:solidFill>
              <a:schemeClr val="tx1">
                <a:lumMod val="95000"/>
                <a:lumOff val="5000"/>
              </a:schemeClr>
            </a:solidFill>
          </a:endParaRPr>
        </a:p>
      </dgm:t>
    </dgm:pt>
    <dgm:pt modelId="{5E63FD3A-46F9-42A0-9DC0-B5ADDAF5D755}">
      <dgm:prSet phldrT="[Texto]" custT="1"/>
      <dgm:spPr/>
      <dgm:t>
        <a:bodyPr/>
        <a:lstStyle/>
        <a:p>
          <a:pPr algn="ctr"/>
          <a:r>
            <a:rPr lang="es-CO" sz="1000" b="1">
              <a:latin typeface="+mj-lt"/>
            </a:rPr>
            <a:t>6. Iniciativas Adicionales </a:t>
          </a:r>
        </a:p>
        <a:p>
          <a:pPr algn="ctr"/>
          <a:r>
            <a:rPr lang="es-CO" sz="1000" b="1">
              <a:latin typeface="+mj-lt"/>
            </a:rPr>
            <a:t>(</a:t>
          </a:r>
          <a:r>
            <a:rPr lang="es-ES" sz="1000" b="1">
              <a:latin typeface="+mj-lt"/>
            </a:rPr>
            <a:t>Código de Integridad y Conflicto de Intereses)</a:t>
          </a:r>
          <a:endParaRPr lang="es-CO" sz="1000" b="1">
            <a:latin typeface="+mj-lt"/>
          </a:endParaRPr>
        </a:p>
      </dgm:t>
    </dgm:pt>
    <dgm:pt modelId="{C2C8D8B1-466C-42C4-8938-C27943D17158}" type="parTrans" cxnId="{30C6137E-4899-49D4-9BF2-CC4A9F059174}">
      <dgm:prSet/>
      <dgm:spPr/>
      <dgm:t>
        <a:bodyPr/>
        <a:lstStyle/>
        <a:p>
          <a:pPr algn="ctr"/>
          <a:endParaRPr lang="es-CO" sz="1200">
            <a:solidFill>
              <a:schemeClr val="tx1">
                <a:lumMod val="95000"/>
                <a:lumOff val="5000"/>
              </a:schemeClr>
            </a:solidFill>
          </a:endParaRPr>
        </a:p>
      </dgm:t>
    </dgm:pt>
    <dgm:pt modelId="{6449FFBE-A19F-4FF9-8CEF-45DD3D6E8C85}" type="sibTrans" cxnId="{30C6137E-4899-49D4-9BF2-CC4A9F059174}">
      <dgm:prSet/>
      <dgm:spPr/>
      <dgm:t>
        <a:bodyPr/>
        <a:lstStyle/>
        <a:p>
          <a:pPr algn="ctr"/>
          <a:endParaRPr lang="es-CO" sz="1000">
            <a:solidFill>
              <a:schemeClr val="tx1">
                <a:lumMod val="95000"/>
                <a:lumOff val="5000"/>
              </a:schemeClr>
            </a:solidFill>
            <a:latin typeface="+mj-lt"/>
          </a:endParaRPr>
        </a:p>
      </dgm:t>
    </dgm:pt>
    <dgm:pt modelId="{82EA7397-520E-426E-AEC5-9520C510FB65}">
      <dgm:prSet custT="1"/>
      <dgm:spPr/>
      <dgm:t>
        <a:bodyPr/>
        <a:lstStyle/>
        <a:p>
          <a:pPr algn="ctr"/>
          <a:r>
            <a:rPr lang="es-CO" sz="1000" b="1">
              <a:latin typeface="+mj-lt"/>
            </a:rPr>
            <a:t>5. Mecanimos para la Transparencia y Acceso a la Información</a:t>
          </a:r>
        </a:p>
      </dgm:t>
    </dgm:pt>
    <dgm:pt modelId="{560B208F-F187-480F-9B16-3C0414F263F7}" type="parTrans" cxnId="{17167970-7A38-4E13-97A0-7AB2EBA455CD}">
      <dgm:prSet/>
      <dgm:spPr/>
      <dgm:t>
        <a:bodyPr/>
        <a:lstStyle/>
        <a:p>
          <a:pPr algn="ctr"/>
          <a:endParaRPr lang="es-CO" sz="1200">
            <a:solidFill>
              <a:schemeClr val="tx1">
                <a:lumMod val="95000"/>
                <a:lumOff val="5000"/>
              </a:schemeClr>
            </a:solidFill>
          </a:endParaRPr>
        </a:p>
      </dgm:t>
    </dgm:pt>
    <dgm:pt modelId="{CCDD4841-E34D-43A9-89E0-8FE295813822}" type="sibTrans" cxnId="{17167970-7A38-4E13-97A0-7AB2EBA455CD}">
      <dgm:prSet/>
      <dgm:spPr/>
      <dgm:t>
        <a:bodyPr/>
        <a:lstStyle/>
        <a:p>
          <a:pPr algn="ctr"/>
          <a:endParaRPr lang="es-CO" sz="1200">
            <a:solidFill>
              <a:schemeClr val="tx1">
                <a:lumMod val="95000"/>
                <a:lumOff val="5000"/>
              </a:schemeClr>
            </a:solidFill>
          </a:endParaRPr>
        </a:p>
      </dgm:t>
    </dgm:pt>
    <dgm:pt modelId="{BA01C543-7AD2-410E-96BE-E529DFBFD52B}" type="pres">
      <dgm:prSet presAssocID="{38403CBF-AB23-4357-A105-D5B4B3FBFC39}" presName="cycle" presStyleCnt="0">
        <dgm:presLayoutVars>
          <dgm:dir/>
          <dgm:resizeHandles val="exact"/>
        </dgm:presLayoutVars>
      </dgm:prSet>
      <dgm:spPr/>
      <dgm:t>
        <a:bodyPr/>
        <a:lstStyle/>
        <a:p>
          <a:endParaRPr lang="es-ES"/>
        </a:p>
      </dgm:t>
    </dgm:pt>
    <dgm:pt modelId="{CBB43474-595A-4F31-971C-14C9E317063E}" type="pres">
      <dgm:prSet presAssocID="{8E21BC76-C266-4BA5-B9E5-D75A02A7C855}" presName="node" presStyleLbl="node1" presStyleIdx="0" presStyleCnt="6" custScaleX="158550" custScaleY="131477">
        <dgm:presLayoutVars>
          <dgm:bulletEnabled val="1"/>
        </dgm:presLayoutVars>
      </dgm:prSet>
      <dgm:spPr/>
      <dgm:t>
        <a:bodyPr/>
        <a:lstStyle/>
        <a:p>
          <a:endParaRPr lang="es-ES"/>
        </a:p>
      </dgm:t>
    </dgm:pt>
    <dgm:pt modelId="{2D9D7D10-869D-40BE-80B2-BD1BC85DFFE3}" type="pres">
      <dgm:prSet presAssocID="{8E21BC76-C266-4BA5-B9E5-D75A02A7C855}" presName="spNode" presStyleCnt="0"/>
      <dgm:spPr/>
    </dgm:pt>
    <dgm:pt modelId="{67492A14-9E9B-423D-983E-206B8F471C65}" type="pres">
      <dgm:prSet presAssocID="{322FEEF6-0992-479E-A389-A3FD8D72D8DE}" presName="sibTrans" presStyleLbl="sibTrans1D1" presStyleIdx="0" presStyleCnt="6"/>
      <dgm:spPr/>
      <dgm:t>
        <a:bodyPr/>
        <a:lstStyle/>
        <a:p>
          <a:endParaRPr lang="es-ES"/>
        </a:p>
      </dgm:t>
    </dgm:pt>
    <dgm:pt modelId="{D58AD551-0DC2-4C7D-9E04-44DB7AB1F587}" type="pres">
      <dgm:prSet presAssocID="{09398D47-94A6-4CCB-BD57-89C7B1521AB5}" presName="node" presStyleLbl="node1" presStyleIdx="1" presStyleCnt="6" custScaleX="136325" custScaleY="131477" custRadScaleRad="97160" custRadScaleInc="44539">
        <dgm:presLayoutVars>
          <dgm:bulletEnabled val="1"/>
        </dgm:presLayoutVars>
      </dgm:prSet>
      <dgm:spPr/>
      <dgm:t>
        <a:bodyPr/>
        <a:lstStyle/>
        <a:p>
          <a:endParaRPr lang="es-ES"/>
        </a:p>
      </dgm:t>
    </dgm:pt>
    <dgm:pt modelId="{3F2A9199-8362-44A2-99A7-064B36B6D6B8}" type="pres">
      <dgm:prSet presAssocID="{09398D47-94A6-4CCB-BD57-89C7B1521AB5}" presName="spNode" presStyleCnt="0"/>
      <dgm:spPr/>
    </dgm:pt>
    <dgm:pt modelId="{A5E1D3AB-EC50-4D05-8011-4BD8183C7DFB}" type="pres">
      <dgm:prSet presAssocID="{3F3CA132-283D-4629-9605-E3ADDC17D19C}" presName="sibTrans" presStyleLbl="sibTrans1D1" presStyleIdx="1" presStyleCnt="6"/>
      <dgm:spPr/>
      <dgm:t>
        <a:bodyPr/>
        <a:lstStyle/>
        <a:p>
          <a:endParaRPr lang="es-ES"/>
        </a:p>
      </dgm:t>
    </dgm:pt>
    <dgm:pt modelId="{CB5D472B-FF22-4E86-8741-91F20E78E301}" type="pres">
      <dgm:prSet presAssocID="{AE795057-D0E0-4AC8-84EC-88A01723FC79}" presName="node" presStyleLbl="node1" presStyleIdx="2" presStyleCnt="6" custScaleX="136325" custScaleY="131477" custRadScaleRad="99388" custRadScaleInc="-28980">
        <dgm:presLayoutVars>
          <dgm:bulletEnabled val="1"/>
        </dgm:presLayoutVars>
      </dgm:prSet>
      <dgm:spPr/>
      <dgm:t>
        <a:bodyPr/>
        <a:lstStyle/>
        <a:p>
          <a:endParaRPr lang="es-ES"/>
        </a:p>
      </dgm:t>
    </dgm:pt>
    <dgm:pt modelId="{C098C048-2017-4B0B-8853-57C4E02418BC}" type="pres">
      <dgm:prSet presAssocID="{AE795057-D0E0-4AC8-84EC-88A01723FC79}" presName="spNode" presStyleCnt="0"/>
      <dgm:spPr/>
    </dgm:pt>
    <dgm:pt modelId="{A423FC66-D6FF-465A-8B8C-026644769D01}" type="pres">
      <dgm:prSet presAssocID="{F253A81F-D01D-4400-BE77-26FDD5E14320}" presName="sibTrans" presStyleLbl="sibTrans1D1" presStyleIdx="2" presStyleCnt="6"/>
      <dgm:spPr/>
      <dgm:t>
        <a:bodyPr/>
        <a:lstStyle/>
        <a:p>
          <a:endParaRPr lang="es-ES"/>
        </a:p>
      </dgm:t>
    </dgm:pt>
    <dgm:pt modelId="{5A993CC7-38DE-42D2-973B-19668B88B1DA}" type="pres">
      <dgm:prSet presAssocID="{7779B574-1D08-4DB1-9384-2AFC9B131AC7}" presName="node" presStyleLbl="node1" presStyleIdx="3" presStyleCnt="6" custScaleX="163696" custScaleY="131477">
        <dgm:presLayoutVars>
          <dgm:bulletEnabled val="1"/>
        </dgm:presLayoutVars>
      </dgm:prSet>
      <dgm:spPr/>
      <dgm:t>
        <a:bodyPr/>
        <a:lstStyle/>
        <a:p>
          <a:endParaRPr lang="es-ES"/>
        </a:p>
      </dgm:t>
    </dgm:pt>
    <dgm:pt modelId="{AEBF4DBA-EB22-4692-A110-1D745D3BF19D}" type="pres">
      <dgm:prSet presAssocID="{7779B574-1D08-4DB1-9384-2AFC9B131AC7}" presName="spNode" presStyleCnt="0"/>
      <dgm:spPr/>
    </dgm:pt>
    <dgm:pt modelId="{B641F731-FA7C-46E5-86D7-8204BB7EB556}" type="pres">
      <dgm:prSet presAssocID="{BB1D36C0-BBA1-4E71-9E27-22E7BEEC271C}" presName="sibTrans" presStyleLbl="sibTrans1D1" presStyleIdx="3" presStyleCnt="6"/>
      <dgm:spPr/>
      <dgm:t>
        <a:bodyPr/>
        <a:lstStyle/>
        <a:p>
          <a:endParaRPr lang="es-ES"/>
        </a:p>
      </dgm:t>
    </dgm:pt>
    <dgm:pt modelId="{A716770F-19AB-484F-B610-101CCA6FE0A9}" type="pres">
      <dgm:prSet presAssocID="{82EA7397-520E-426E-AEC5-9520C510FB65}" presName="node" presStyleLbl="node1" presStyleIdx="4" presStyleCnt="6" custScaleX="174382" custScaleY="131477" custRadScaleRad="98860" custRadScaleInc="28293">
        <dgm:presLayoutVars>
          <dgm:bulletEnabled val="1"/>
        </dgm:presLayoutVars>
      </dgm:prSet>
      <dgm:spPr/>
      <dgm:t>
        <a:bodyPr/>
        <a:lstStyle/>
        <a:p>
          <a:endParaRPr lang="es-ES"/>
        </a:p>
      </dgm:t>
    </dgm:pt>
    <dgm:pt modelId="{38FB26AF-24C7-4139-8185-E37F79D27836}" type="pres">
      <dgm:prSet presAssocID="{82EA7397-520E-426E-AEC5-9520C510FB65}" presName="spNode" presStyleCnt="0"/>
      <dgm:spPr/>
    </dgm:pt>
    <dgm:pt modelId="{B63B18D3-81EE-4332-8815-7F0F05533E7A}" type="pres">
      <dgm:prSet presAssocID="{CCDD4841-E34D-43A9-89E0-8FE295813822}" presName="sibTrans" presStyleLbl="sibTrans1D1" presStyleIdx="4" presStyleCnt="6"/>
      <dgm:spPr/>
      <dgm:t>
        <a:bodyPr/>
        <a:lstStyle/>
        <a:p>
          <a:endParaRPr lang="es-ES"/>
        </a:p>
      </dgm:t>
    </dgm:pt>
    <dgm:pt modelId="{8A37AACA-ACBB-423E-BFDA-BF0920630349}" type="pres">
      <dgm:prSet presAssocID="{5E63FD3A-46F9-42A0-9DC0-B5ADDAF5D755}" presName="node" presStyleLbl="node1" presStyleIdx="5" presStyleCnt="6" custScaleX="164091" custScaleY="131477" custRadScaleRad="97292" custRadScaleInc="-48330">
        <dgm:presLayoutVars>
          <dgm:bulletEnabled val="1"/>
        </dgm:presLayoutVars>
      </dgm:prSet>
      <dgm:spPr/>
      <dgm:t>
        <a:bodyPr/>
        <a:lstStyle/>
        <a:p>
          <a:endParaRPr lang="es-ES"/>
        </a:p>
      </dgm:t>
    </dgm:pt>
    <dgm:pt modelId="{BE147299-F985-4C67-9169-543D7C217C7B}" type="pres">
      <dgm:prSet presAssocID="{5E63FD3A-46F9-42A0-9DC0-B5ADDAF5D755}" presName="spNode" presStyleCnt="0"/>
      <dgm:spPr/>
    </dgm:pt>
    <dgm:pt modelId="{A04D3B30-32DF-4615-9B38-B4B7DDE86BEE}" type="pres">
      <dgm:prSet presAssocID="{6449FFBE-A19F-4FF9-8CEF-45DD3D6E8C85}" presName="sibTrans" presStyleLbl="sibTrans1D1" presStyleIdx="5" presStyleCnt="6"/>
      <dgm:spPr/>
      <dgm:t>
        <a:bodyPr/>
        <a:lstStyle/>
        <a:p>
          <a:endParaRPr lang="es-ES"/>
        </a:p>
      </dgm:t>
    </dgm:pt>
  </dgm:ptLst>
  <dgm:cxnLst>
    <dgm:cxn modelId="{44087463-8065-43B8-A9C2-27F85374CF8C}" type="presOf" srcId="{BB1D36C0-BBA1-4E71-9E27-22E7BEEC271C}" destId="{B641F731-FA7C-46E5-86D7-8204BB7EB556}" srcOrd="0" destOrd="0" presId="urn:microsoft.com/office/officeart/2005/8/layout/cycle6"/>
    <dgm:cxn modelId="{E9AE7EDB-7CA2-41B6-A296-08670CC87325}" type="presOf" srcId="{09398D47-94A6-4CCB-BD57-89C7B1521AB5}" destId="{D58AD551-0DC2-4C7D-9E04-44DB7AB1F587}" srcOrd="0" destOrd="0" presId="urn:microsoft.com/office/officeart/2005/8/layout/cycle6"/>
    <dgm:cxn modelId="{98FE7182-3924-4301-A99E-8AD17C89F61F}" type="presOf" srcId="{6449FFBE-A19F-4FF9-8CEF-45DD3D6E8C85}" destId="{A04D3B30-32DF-4615-9B38-B4B7DDE86BEE}" srcOrd="0" destOrd="0" presId="urn:microsoft.com/office/officeart/2005/8/layout/cycle6"/>
    <dgm:cxn modelId="{C4BEE7C9-5C77-477F-8A51-F343CCAB161F}" type="presOf" srcId="{F253A81F-D01D-4400-BE77-26FDD5E14320}" destId="{A423FC66-D6FF-465A-8B8C-026644769D01}" srcOrd="0" destOrd="0" presId="urn:microsoft.com/office/officeart/2005/8/layout/cycle6"/>
    <dgm:cxn modelId="{BEE93B70-88DA-423E-AFC8-7164E8F102E4}" type="presOf" srcId="{38403CBF-AB23-4357-A105-D5B4B3FBFC39}" destId="{BA01C543-7AD2-410E-96BE-E529DFBFD52B}" srcOrd="0" destOrd="0" presId="urn:microsoft.com/office/officeart/2005/8/layout/cycle6"/>
    <dgm:cxn modelId="{148F831F-355C-4E85-B3F6-DBF368160ACE}" type="presOf" srcId="{5E63FD3A-46F9-42A0-9DC0-B5ADDAF5D755}" destId="{8A37AACA-ACBB-423E-BFDA-BF0920630349}" srcOrd="0" destOrd="0" presId="urn:microsoft.com/office/officeart/2005/8/layout/cycle6"/>
    <dgm:cxn modelId="{860308E4-F9CA-4D90-8F4A-C6B4DE51B8BD}" srcId="{38403CBF-AB23-4357-A105-D5B4B3FBFC39}" destId="{7779B574-1D08-4DB1-9384-2AFC9B131AC7}" srcOrd="3" destOrd="0" parTransId="{5BB3474B-C304-4E29-A6F0-E789A3A1D4EF}" sibTransId="{BB1D36C0-BBA1-4E71-9E27-22E7BEEC271C}"/>
    <dgm:cxn modelId="{88F58E69-AE0A-4B42-A2F5-648991A67A8D}" type="presOf" srcId="{CCDD4841-E34D-43A9-89E0-8FE295813822}" destId="{B63B18D3-81EE-4332-8815-7F0F05533E7A}" srcOrd="0" destOrd="0" presId="urn:microsoft.com/office/officeart/2005/8/layout/cycle6"/>
    <dgm:cxn modelId="{F889452B-C0EB-46AA-AFCE-F3D4B2A6F10B}" type="presOf" srcId="{8E21BC76-C266-4BA5-B9E5-D75A02A7C855}" destId="{CBB43474-595A-4F31-971C-14C9E317063E}" srcOrd="0" destOrd="0" presId="urn:microsoft.com/office/officeart/2005/8/layout/cycle6"/>
    <dgm:cxn modelId="{252EB190-83EC-41A2-8E7C-46DFB3D52EDB}" type="presOf" srcId="{AE795057-D0E0-4AC8-84EC-88A01723FC79}" destId="{CB5D472B-FF22-4E86-8741-91F20E78E301}" srcOrd="0" destOrd="0" presId="urn:microsoft.com/office/officeart/2005/8/layout/cycle6"/>
    <dgm:cxn modelId="{30C6137E-4899-49D4-9BF2-CC4A9F059174}" srcId="{38403CBF-AB23-4357-A105-D5B4B3FBFC39}" destId="{5E63FD3A-46F9-42A0-9DC0-B5ADDAF5D755}" srcOrd="5" destOrd="0" parTransId="{C2C8D8B1-466C-42C4-8938-C27943D17158}" sibTransId="{6449FFBE-A19F-4FF9-8CEF-45DD3D6E8C85}"/>
    <dgm:cxn modelId="{17167970-7A38-4E13-97A0-7AB2EBA455CD}" srcId="{38403CBF-AB23-4357-A105-D5B4B3FBFC39}" destId="{82EA7397-520E-426E-AEC5-9520C510FB65}" srcOrd="4" destOrd="0" parTransId="{560B208F-F187-480F-9B16-3C0414F263F7}" sibTransId="{CCDD4841-E34D-43A9-89E0-8FE295813822}"/>
    <dgm:cxn modelId="{A26C1147-B890-4479-89F7-52878E6149EE}" type="presOf" srcId="{82EA7397-520E-426E-AEC5-9520C510FB65}" destId="{A716770F-19AB-484F-B610-101CCA6FE0A9}" srcOrd="0" destOrd="0" presId="urn:microsoft.com/office/officeart/2005/8/layout/cycle6"/>
    <dgm:cxn modelId="{E7F90D0B-AD65-4868-A88E-A5703776DE39}" type="presOf" srcId="{3F3CA132-283D-4629-9605-E3ADDC17D19C}" destId="{A5E1D3AB-EC50-4D05-8011-4BD8183C7DFB}" srcOrd="0" destOrd="0" presId="urn:microsoft.com/office/officeart/2005/8/layout/cycle6"/>
    <dgm:cxn modelId="{E44CB5C6-8D57-40D2-8541-52912A2EF056}" type="presOf" srcId="{7779B574-1D08-4DB1-9384-2AFC9B131AC7}" destId="{5A993CC7-38DE-42D2-973B-19668B88B1DA}" srcOrd="0" destOrd="0" presId="urn:microsoft.com/office/officeart/2005/8/layout/cycle6"/>
    <dgm:cxn modelId="{BFF65848-3847-45DB-9415-31CD07999565}" srcId="{38403CBF-AB23-4357-A105-D5B4B3FBFC39}" destId="{8E21BC76-C266-4BA5-B9E5-D75A02A7C855}" srcOrd="0" destOrd="0" parTransId="{22537FDF-4875-49BF-857C-2A34D8F16D7A}" sibTransId="{322FEEF6-0992-479E-A389-A3FD8D72D8DE}"/>
    <dgm:cxn modelId="{0855C0EB-54CF-4E44-9332-4D17811DECF5}" srcId="{38403CBF-AB23-4357-A105-D5B4B3FBFC39}" destId="{AE795057-D0E0-4AC8-84EC-88A01723FC79}" srcOrd="2" destOrd="0" parTransId="{46802252-2744-4D75-9FC9-1C12A2B4E659}" sibTransId="{F253A81F-D01D-4400-BE77-26FDD5E14320}"/>
    <dgm:cxn modelId="{AFF74A81-B249-4B1A-A926-40ECB7A0BC24}" type="presOf" srcId="{322FEEF6-0992-479E-A389-A3FD8D72D8DE}" destId="{67492A14-9E9B-423D-983E-206B8F471C65}" srcOrd="0" destOrd="0" presId="urn:microsoft.com/office/officeart/2005/8/layout/cycle6"/>
    <dgm:cxn modelId="{668530A4-310A-4F0D-812F-CB0315B07BD9}" srcId="{38403CBF-AB23-4357-A105-D5B4B3FBFC39}" destId="{09398D47-94A6-4CCB-BD57-89C7B1521AB5}" srcOrd="1" destOrd="0" parTransId="{27987AFA-85C9-4FDC-8480-3C3CD6CA1E0F}" sibTransId="{3F3CA132-283D-4629-9605-E3ADDC17D19C}"/>
    <dgm:cxn modelId="{0082550D-6CC1-4664-92C6-28FB6F8C4DBA}" type="presParOf" srcId="{BA01C543-7AD2-410E-96BE-E529DFBFD52B}" destId="{CBB43474-595A-4F31-971C-14C9E317063E}" srcOrd="0" destOrd="0" presId="urn:microsoft.com/office/officeart/2005/8/layout/cycle6"/>
    <dgm:cxn modelId="{47562B8F-0C9B-44ED-80D7-28E06C98E81C}" type="presParOf" srcId="{BA01C543-7AD2-410E-96BE-E529DFBFD52B}" destId="{2D9D7D10-869D-40BE-80B2-BD1BC85DFFE3}" srcOrd="1" destOrd="0" presId="urn:microsoft.com/office/officeart/2005/8/layout/cycle6"/>
    <dgm:cxn modelId="{9D40051F-5B42-42BD-A257-BF24F507D876}" type="presParOf" srcId="{BA01C543-7AD2-410E-96BE-E529DFBFD52B}" destId="{67492A14-9E9B-423D-983E-206B8F471C65}" srcOrd="2" destOrd="0" presId="urn:microsoft.com/office/officeart/2005/8/layout/cycle6"/>
    <dgm:cxn modelId="{42440FB5-8B50-4325-B119-3D71D323DC27}" type="presParOf" srcId="{BA01C543-7AD2-410E-96BE-E529DFBFD52B}" destId="{D58AD551-0DC2-4C7D-9E04-44DB7AB1F587}" srcOrd="3" destOrd="0" presId="urn:microsoft.com/office/officeart/2005/8/layout/cycle6"/>
    <dgm:cxn modelId="{29C0C056-CA75-4A3A-9AAE-F4C50F8D43F4}" type="presParOf" srcId="{BA01C543-7AD2-410E-96BE-E529DFBFD52B}" destId="{3F2A9199-8362-44A2-99A7-064B36B6D6B8}" srcOrd="4" destOrd="0" presId="urn:microsoft.com/office/officeart/2005/8/layout/cycle6"/>
    <dgm:cxn modelId="{D283A54F-6872-4E11-A3F3-9AD2BA7C0B9F}" type="presParOf" srcId="{BA01C543-7AD2-410E-96BE-E529DFBFD52B}" destId="{A5E1D3AB-EC50-4D05-8011-4BD8183C7DFB}" srcOrd="5" destOrd="0" presId="urn:microsoft.com/office/officeart/2005/8/layout/cycle6"/>
    <dgm:cxn modelId="{7069C930-6B25-4769-AEA2-2AB60FE23715}" type="presParOf" srcId="{BA01C543-7AD2-410E-96BE-E529DFBFD52B}" destId="{CB5D472B-FF22-4E86-8741-91F20E78E301}" srcOrd="6" destOrd="0" presId="urn:microsoft.com/office/officeart/2005/8/layout/cycle6"/>
    <dgm:cxn modelId="{0E752B72-8724-4252-837D-FA586EA12451}" type="presParOf" srcId="{BA01C543-7AD2-410E-96BE-E529DFBFD52B}" destId="{C098C048-2017-4B0B-8853-57C4E02418BC}" srcOrd="7" destOrd="0" presId="urn:microsoft.com/office/officeart/2005/8/layout/cycle6"/>
    <dgm:cxn modelId="{2C43026E-D53C-4F83-8353-2154643CBEB6}" type="presParOf" srcId="{BA01C543-7AD2-410E-96BE-E529DFBFD52B}" destId="{A423FC66-D6FF-465A-8B8C-026644769D01}" srcOrd="8" destOrd="0" presId="urn:microsoft.com/office/officeart/2005/8/layout/cycle6"/>
    <dgm:cxn modelId="{2FE8BD74-0312-4738-B7BA-274099C64CCD}" type="presParOf" srcId="{BA01C543-7AD2-410E-96BE-E529DFBFD52B}" destId="{5A993CC7-38DE-42D2-973B-19668B88B1DA}" srcOrd="9" destOrd="0" presId="urn:microsoft.com/office/officeart/2005/8/layout/cycle6"/>
    <dgm:cxn modelId="{9E220780-365F-467E-9CBD-AF49EA8334CE}" type="presParOf" srcId="{BA01C543-7AD2-410E-96BE-E529DFBFD52B}" destId="{AEBF4DBA-EB22-4692-A110-1D745D3BF19D}" srcOrd="10" destOrd="0" presId="urn:microsoft.com/office/officeart/2005/8/layout/cycle6"/>
    <dgm:cxn modelId="{7F40162A-712B-41E8-865D-B406FE565082}" type="presParOf" srcId="{BA01C543-7AD2-410E-96BE-E529DFBFD52B}" destId="{B641F731-FA7C-46E5-86D7-8204BB7EB556}" srcOrd="11" destOrd="0" presId="urn:microsoft.com/office/officeart/2005/8/layout/cycle6"/>
    <dgm:cxn modelId="{9E3C2EF0-82AC-46A8-AFEE-FC62F6D4E30D}" type="presParOf" srcId="{BA01C543-7AD2-410E-96BE-E529DFBFD52B}" destId="{A716770F-19AB-484F-B610-101CCA6FE0A9}" srcOrd="12" destOrd="0" presId="urn:microsoft.com/office/officeart/2005/8/layout/cycle6"/>
    <dgm:cxn modelId="{B6EE5D43-670A-4A9F-B58F-DD39EDD0E372}" type="presParOf" srcId="{BA01C543-7AD2-410E-96BE-E529DFBFD52B}" destId="{38FB26AF-24C7-4139-8185-E37F79D27836}" srcOrd="13" destOrd="0" presId="urn:microsoft.com/office/officeart/2005/8/layout/cycle6"/>
    <dgm:cxn modelId="{D7F8E8A2-8E8A-44BD-A0FF-A51CD9A09DAD}" type="presParOf" srcId="{BA01C543-7AD2-410E-96BE-E529DFBFD52B}" destId="{B63B18D3-81EE-4332-8815-7F0F05533E7A}" srcOrd="14" destOrd="0" presId="urn:microsoft.com/office/officeart/2005/8/layout/cycle6"/>
    <dgm:cxn modelId="{4F1DBB83-459A-4575-95D8-6699B9891A7A}" type="presParOf" srcId="{BA01C543-7AD2-410E-96BE-E529DFBFD52B}" destId="{8A37AACA-ACBB-423E-BFDA-BF0920630349}" srcOrd="15" destOrd="0" presId="urn:microsoft.com/office/officeart/2005/8/layout/cycle6"/>
    <dgm:cxn modelId="{AC53C086-F653-4777-9FFD-C6636D49A8F3}" type="presParOf" srcId="{BA01C543-7AD2-410E-96BE-E529DFBFD52B}" destId="{BE147299-F985-4C67-9169-543D7C217C7B}" srcOrd="16" destOrd="0" presId="urn:microsoft.com/office/officeart/2005/8/layout/cycle6"/>
    <dgm:cxn modelId="{6B73BB4A-733B-4FA8-9703-DA7707B06451}" type="presParOf" srcId="{BA01C543-7AD2-410E-96BE-E529DFBFD52B}" destId="{A04D3B30-32DF-4615-9B38-B4B7DDE86BEE}" srcOrd="17" destOrd="0" presId="urn:microsoft.com/office/officeart/2005/8/layout/cycle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B43474-595A-4F31-971C-14C9E317063E}">
      <dsp:nvSpPr>
        <dsp:cNvPr id="0" name=""/>
        <dsp:cNvSpPr/>
      </dsp:nvSpPr>
      <dsp:spPr>
        <a:xfrm>
          <a:off x="1733452" y="-101491"/>
          <a:ext cx="1579091" cy="851146"/>
        </a:xfrm>
        <a:prstGeom prst="roundRect">
          <a:avLst/>
        </a:prstGeom>
        <a:gradFill rotWithShape="0">
          <a:gsLst>
            <a:gs pos="0">
              <a:schemeClr val="accent1">
                <a:hueOff val="0"/>
                <a:satOff val="0"/>
                <a:lumOff val="0"/>
                <a:alphaOff val="0"/>
                <a:tint val="100000"/>
                <a:shade val="75000"/>
                <a:satMod val="160000"/>
              </a:schemeClr>
            </a:gs>
            <a:gs pos="62000">
              <a:schemeClr val="accent1">
                <a:hueOff val="0"/>
                <a:satOff val="0"/>
                <a:lumOff val="0"/>
                <a:alphaOff val="0"/>
                <a:tint val="100000"/>
                <a:shade val="100000"/>
                <a:satMod val="125000"/>
              </a:schemeClr>
            </a:gs>
            <a:gs pos="100000">
              <a:schemeClr val="accent1">
                <a:hueOff val="0"/>
                <a:satOff val="0"/>
                <a:lumOff val="0"/>
                <a:alphaOff val="0"/>
                <a:tint val="80000"/>
                <a:shade val="100000"/>
                <a:satMod val="140000"/>
              </a:schemeClr>
            </a:gs>
          </a:gsLst>
          <a:lin ang="16200000" scaled="1"/>
        </a:gradFill>
        <a:ln>
          <a:no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accen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1. Gestión del Riesgo de Corrupción</a:t>
          </a:r>
        </a:p>
      </dsp:txBody>
      <dsp:txXfrm>
        <a:off x="1775002" y="-59941"/>
        <a:ext cx="1495991" cy="768046"/>
      </dsp:txXfrm>
    </dsp:sp>
    <dsp:sp modelId="{67492A14-9E9B-423D-983E-206B8F471C65}">
      <dsp:nvSpPr>
        <dsp:cNvPr id="0" name=""/>
        <dsp:cNvSpPr/>
      </dsp:nvSpPr>
      <dsp:spPr>
        <a:xfrm>
          <a:off x="884562" y="247821"/>
          <a:ext cx="3048807" cy="3048807"/>
        </a:xfrm>
        <a:custGeom>
          <a:avLst/>
          <a:gdLst/>
          <a:ahLst/>
          <a:cxnLst/>
          <a:rect l="0" t="0" r="0" b="0"/>
          <a:pathLst>
            <a:path>
              <a:moveTo>
                <a:pt x="2431877" y="299536"/>
              </a:moveTo>
              <a:arcTo wR="1524403" hR="1524403" stAng="18392030" swAng="1075088"/>
            </a:path>
          </a:pathLst>
        </a:custGeom>
        <a:noFill/>
        <a:ln w="12700">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58AD551-0DC2-4C7D-9E04-44DB7AB1F587}">
      <dsp:nvSpPr>
        <dsp:cNvPr id="0" name=""/>
        <dsp:cNvSpPr/>
      </dsp:nvSpPr>
      <dsp:spPr>
        <a:xfrm>
          <a:off x="3226008" y="889904"/>
          <a:ext cx="1357739" cy="851146"/>
        </a:xfrm>
        <a:prstGeom prst="roundRect">
          <a:avLst/>
        </a:prstGeom>
        <a:gradFill rotWithShape="0">
          <a:gsLst>
            <a:gs pos="0">
              <a:schemeClr val="accent1">
                <a:hueOff val="0"/>
                <a:satOff val="0"/>
                <a:lumOff val="0"/>
                <a:alphaOff val="0"/>
                <a:tint val="100000"/>
                <a:shade val="75000"/>
                <a:satMod val="160000"/>
              </a:schemeClr>
            </a:gs>
            <a:gs pos="62000">
              <a:schemeClr val="accent1">
                <a:hueOff val="0"/>
                <a:satOff val="0"/>
                <a:lumOff val="0"/>
                <a:alphaOff val="0"/>
                <a:tint val="100000"/>
                <a:shade val="100000"/>
                <a:satMod val="125000"/>
              </a:schemeClr>
            </a:gs>
            <a:gs pos="100000">
              <a:schemeClr val="accent1">
                <a:hueOff val="0"/>
                <a:satOff val="0"/>
                <a:lumOff val="0"/>
                <a:alphaOff val="0"/>
                <a:tint val="80000"/>
                <a:shade val="100000"/>
                <a:satMod val="140000"/>
              </a:schemeClr>
            </a:gs>
          </a:gsLst>
          <a:lin ang="16200000" scaled="1"/>
        </a:gradFill>
        <a:ln>
          <a:no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accen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2. Racionalización de Tramites</a:t>
          </a:r>
        </a:p>
      </dsp:txBody>
      <dsp:txXfrm>
        <a:off x="3267558" y="931454"/>
        <a:ext cx="1274639" cy="768046"/>
      </dsp:txXfrm>
    </dsp:sp>
    <dsp:sp modelId="{A5E1D3AB-EC50-4D05-8011-4BD8183C7DFB}">
      <dsp:nvSpPr>
        <dsp:cNvPr id="0" name=""/>
        <dsp:cNvSpPr/>
      </dsp:nvSpPr>
      <dsp:spPr>
        <a:xfrm>
          <a:off x="976806" y="493803"/>
          <a:ext cx="3048807" cy="3048807"/>
        </a:xfrm>
        <a:custGeom>
          <a:avLst/>
          <a:gdLst/>
          <a:ahLst/>
          <a:cxnLst/>
          <a:rect l="0" t="0" r="0" b="0"/>
          <a:pathLst>
            <a:path>
              <a:moveTo>
                <a:pt x="3023950" y="1250237"/>
              </a:moveTo>
              <a:arcTo wR="1524403" hR="1524403" stAng="20978334" swAng="673140"/>
            </a:path>
          </a:pathLst>
        </a:custGeom>
        <a:noFill/>
        <a:ln w="12700">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B5D472B-FF22-4E86-8741-91F20E78E301}">
      <dsp:nvSpPr>
        <dsp:cNvPr id="0" name=""/>
        <dsp:cNvSpPr/>
      </dsp:nvSpPr>
      <dsp:spPr>
        <a:xfrm>
          <a:off x="3226014" y="2044072"/>
          <a:ext cx="1357739" cy="851146"/>
        </a:xfrm>
        <a:prstGeom prst="roundRect">
          <a:avLst/>
        </a:prstGeom>
        <a:gradFill rotWithShape="0">
          <a:gsLst>
            <a:gs pos="0">
              <a:schemeClr val="accent1">
                <a:hueOff val="0"/>
                <a:satOff val="0"/>
                <a:lumOff val="0"/>
                <a:alphaOff val="0"/>
                <a:tint val="100000"/>
                <a:shade val="75000"/>
                <a:satMod val="160000"/>
              </a:schemeClr>
            </a:gs>
            <a:gs pos="62000">
              <a:schemeClr val="accent1">
                <a:hueOff val="0"/>
                <a:satOff val="0"/>
                <a:lumOff val="0"/>
                <a:alphaOff val="0"/>
                <a:tint val="100000"/>
                <a:shade val="100000"/>
                <a:satMod val="125000"/>
              </a:schemeClr>
            </a:gs>
            <a:gs pos="100000">
              <a:schemeClr val="accent1">
                <a:hueOff val="0"/>
                <a:satOff val="0"/>
                <a:lumOff val="0"/>
                <a:alphaOff val="0"/>
                <a:tint val="80000"/>
                <a:shade val="100000"/>
                <a:satMod val="140000"/>
              </a:schemeClr>
            </a:gs>
          </a:gsLst>
          <a:lin ang="16200000" scaled="1"/>
        </a:gradFill>
        <a:ln>
          <a:no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accen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3. Rendición de Cuentas</a:t>
          </a:r>
        </a:p>
      </dsp:txBody>
      <dsp:txXfrm>
        <a:off x="3267564" y="2085622"/>
        <a:ext cx="1274639" cy="768046"/>
      </dsp:txXfrm>
    </dsp:sp>
    <dsp:sp modelId="{A423FC66-D6FF-465A-8B8C-026644769D01}">
      <dsp:nvSpPr>
        <dsp:cNvPr id="0" name=""/>
        <dsp:cNvSpPr/>
      </dsp:nvSpPr>
      <dsp:spPr>
        <a:xfrm>
          <a:off x="966170" y="345180"/>
          <a:ext cx="3048807" cy="3048807"/>
        </a:xfrm>
        <a:custGeom>
          <a:avLst/>
          <a:gdLst/>
          <a:ahLst/>
          <a:cxnLst/>
          <a:rect l="0" t="0" r="0" b="0"/>
          <a:pathLst>
            <a:path>
              <a:moveTo>
                <a:pt x="2649689" y="2552770"/>
              </a:moveTo>
              <a:arcTo wR="1524403" hR="1524403" stAng="2545398" swAng="819411"/>
            </a:path>
          </a:pathLst>
        </a:custGeom>
        <a:noFill/>
        <a:ln w="12700">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A993CC7-38DE-42D2-973B-19668B88B1DA}">
      <dsp:nvSpPr>
        <dsp:cNvPr id="0" name=""/>
        <dsp:cNvSpPr/>
      </dsp:nvSpPr>
      <dsp:spPr>
        <a:xfrm>
          <a:off x="1707826" y="2947315"/>
          <a:ext cx="1630343" cy="851146"/>
        </a:xfrm>
        <a:prstGeom prst="roundRect">
          <a:avLst/>
        </a:prstGeom>
        <a:gradFill rotWithShape="0">
          <a:gsLst>
            <a:gs pos="0">
              <a:schemeClr val="accent1">
                <a:hueOff val="0"/>
                <a:satOff val="0"/>
                <a:lumOff val="0"/>
                <a:alphaOff val="0"/>
                <a:tint val="100000"/>
                <a:shade val="75000"/>
                <a:satMod val="160000"/>
              </a:schemeClr>
            </a:gs>
            <a:gs pos="62000">
              <a:schemeClr val="accent1">
                <a:hueOff val="0"/>
                <a:satOff val="0"/>
                <a:lumOff val="0"/>
                <a:alphaOff val="0"/>
                <a:tint val="100000"/>
                <a:shade val="100000"/>
                <a:satMod val="125000"/>
              </a:schemeClr>
            </a:gs>
            <a:gs pos="100000">
              <a:schemeClr val="accent1">
                <a:hueOff val="0"/>
                <a:satOff val="0"/>
                <a:lumOff val="0"/>
                <a:alphaOff val="0"/>
                <a:tint val="80000"/>
                <a:shade val="100000"/>
                <a:satMod val="140000"/>
              </a:schemeClr>
            </a:gs>
          </a:gsLst>
          <a:lin ang="16200000" scaled="1"/>
        </a:gradFill>
        <a:ln>
          <a:no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accen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4. Mecanismos para Mejorar la Atención al ciudadano</a:t>
          </a:r>
        </a:p>
      </dsp:txBody>
      <dsp:txXfrm>
        <a:off x="1749376" y="2988865"/>
        <a:ext cx="1547243" cy="768046"/>
      </dsp:txXfrm>
    </dsp:sp>
    <dsp:sp modelId="{B641F731-FA7C-46E5-86D7-8204BB7EB556}">
      <dsp:nvSpPr>
        <dsp:cNvPr id="0" name=""/>
        <dsp:cNvSpPr/>
      </dsp:nvSpPr>
      <dsp:spPr>
        <a:xfrm>
          <a:off x="1059837" y="364941"/>
          <a:ext cx="3048807" cy="3048807"/>
        </a:xfrm>
        <a:custGeom>
          <a:avLst/>
          <a:gdLst/>
          <a:ahLst/>
          <a:cxnLst/>
          <a:rect l="0" t="0" r="0" b="0"/>
          <a:pathLst>
            <a:path>
              <a:moveTo>
                <a:pt x="645033" y="2769600"/>
              </a:moveTo>
              <a:arcTo wR="1524403" hR="1524403" stAng="7513807" swAng="800767"/>
            </a:path>
          </a:pathLst>
        </a:custGeom>
        <a:noFill/>
        <a:ln w="12700">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716770F-19AB-484F-B610-101CCA6FE0A9}">
      <dsp:nvSpPr>
        <dsp:cNvPr id="0" name=""/>
        <dsp:cNvSpPr/>
      </dsp:nvSpPr>
      <dsp:spPr>
        <a:xfrm>
          <a:off x="281552" y="2044066"/>
          <a:ext cx="1736771" cy="851146"/>
        </a:xfrm>
        <a:prstGeom prst="roundRect">
          <a:avLst/>
        </a:prstGeom>
        <a:gradFill rotWithShape="0">
          <a:gsLst>
            <a:gs pos="0">
              <a:schemeClr val="accent1">
                <a:hueOff val="0"/>
                <a:satOff val="0"/>
                <a:lumOff val="0"/>
                <a:alphaOff val="0"/>
                <a:tint val="100000"/>
                <a:shade val="75000"/>
                <a:satMod val="160000"/>
              </a:schemeClr>
            </a:gs>
            <a:gs pos="62000">
              <a:schemeClr val="accent1">
                <a:hueOff val="0"/>
                <a:satOff val="0"/>
                <a:lumOff val="0"/>
                <a:alphaOff val="0"/>
                <a:tint val="100000"/>
                <a:shade val="100000"/>
                <a:satMod val="125000"/>
              </a:schemeClr>
            </a:gs>
            <a:gs pos="100000">
              <a:schemeClr val="accent1">
                <a:hueOff val="0"/>
                <a:satOff val="0"/>
                <a:lumOff val="0"/>
                <a:alphaOff val="0"/>
                <a:tint val="80000"/>
                <a:shade val="100000"/>
                <a:satMod val="140000"/>
              </a:schemeClr>
            </a:gs>
          </a:gsLst>
          <a:lin ang="16200000" scaled="1"/>
        </a:gradFill>
        <a:ln>
          <a:no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accen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5. Mecanimos para la Transparencia y Acceso a la Información</a:t>
          </a:r>
        </a:p>
      </dsp:txBody>
      <dsp:txXfrm>
        <a:off x="323102" y="2085616"/>
        <a:ext cx="1653671" cy="768046"/>
      </dsp:txXfrm>
    </dsp:sp>
    <dsp:sp modelId="{B63B18D3-81EE-4332-8815-7F0F05533E7A}">
      <dsp:nvSpPr>
        <dsp:cNvPr id="0" name=""/>
        <dsp:cNvSpPr/>
      </dsp:nvSpPr>
      <dsp:spPr>
        <a:xfrm>
          <a:off x="1027156" y="450692"/>
          <a:ext cx="3048807" cy="3048807"/>
        </a:xfrm>
        <a:custGeom>
          <a:avLst/>
          <a:gdLst/>
          <a:ahLst/>
          <a:cxnLst/>
          <a:rect l="0" t="0" r="0" b="0"/>
          <a:pathLst>
            <a:path>
              <a:moveTo>
                <a:pt x="1434" y="1590520"/>
              </a:moveTo>
              <a:arcTo wR="1524403" hR="1524403" stAng="10650852" swAng="632399"/>
            </a:path>
          </a:pathLst>
        </a:custGeom>
        <a:noFill/>
        <a:ln w="12700">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A37AACA-ACBB-423E-BFDA-BF0920630349}">
      <dsp:nvSpPr>
        <dsp:cNvPr id="0" name=""/>
        <dsp:cNvSpPr/>
      </dsp:nvSpPr>
      <dsp:spPr>
        <a:xfrm>
          <a:off x="315160" y="907538"/>
          <a:ext cx="1634277" cy="851146"/>
        </a:xfrm>
        <a:prstGeom prst="roundRect">
          <a:avLst/>
        </a:prstGeom>
        <a:gradFill rotWithShape="0">
          <a:gsLst>
            <a:gs pos="0">
              <a:schemeClr val="accent1">
                <a:hueOff val="0"/>
                <a:satOff val="0"/>
                <a:lumOff val="0"/>
                <a:alphaOff val="0"/>
                <a:tint val="100000"/>
                <a:shade val="75000"/>
                <a:satMod val="160000"/>
              </a:schemeClr>
            </a:gs>
            <a:gs pos="62000">
              <a:schemeClr val="accent1">
                <a:hueOff val="0"/>
                <a:satOff val="0"/>
                <a:lumOff val="0"/>
                <a:alphaOff val="0"/>
                <a:tint val="100000"/>
                <a:shade val="100000"/>
                <a:satMod val="125000"/>
              </a:schemeClr>
            </a:gs>
            <a:gs pos="100000">
              <a:schemeClr val="accent1">
                <a:hueOff val="0"/>
                <a:satOff val="0"/>
                <a:lumOff val="0"/>
                <a:alphaOff val="0"/>
                <a:tint val="80000"/>
                <a:shade val="100000"/>
                <a:satMod val="140000"/>
              </a:schemeClr>
            </a:gs>
          </a:gsLst>
          <a:lin ang="16200000" scaled="1"/>
        </a:gradFill>
        <a:ln>
          <a:no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accen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6. Iniciativas Adicionales </a:t>
          </a:r>
        </a:p>
        <a:p>
          <a:pPr lvl="0" algn="ctr" defTabSz="444500">
            <a:lnSpc>
              <a:spcPct val="90000"/>
            </a:lnSpc>
            <a:spcBef>
              <a:spcPct val="0"/>
            </a:spcBef>
            <a:spcAft>
              <a:spcPct val="35000"/>
            </a:spcAft>
          </a:pPr>
          <a:r>
            <a:rPr lang="es-CO" sz="1000" b="1" kern="1200">
              <a:latin typeface="+mj-lt"/>
            </a:rPr>
            <a:t>(</a:t>
          </a:r>
          <a:r>
            <a:rPr lang="es-ES" sz="1000" b="1" kern="1200">
              <a:latin typeface="+mj-lt"/>
            </a:rPr>
            <a:t>Código de Integridad y Conflicto de Intereses)</a:t>
          </a:r>
          <a:endParaRPr lang="es-CO" sz="1000" b="1" kern="1200">
            <a:latin typeface="+mj-lt"/>
          </a:endParaRPr>
        </a:p>
      </dsp:txBody>
      <dsp:txXfrm>
        <a:off x="356710" y="949088"/>
        <a:ext cx="1551177" cy="768046"/>
      </dsp:txXfrm>
    </dsp:sp>
    <dsp:sp modelId="{A04D3B30-32DF-4615-9B38-B4B7DDE86BEE}">
      <dsp:nvSpPr>
        <dsp:cNvPr id="0" name=""/>
        <dsp:cNvSpPr/>
      </dsp:nvSpPr>
      <dsp:spPr>
        <a:xfrm>
          <a:off x="1102486" y="255220"/>
          <a:ext cx="3048807" cy="3048807"/>
        </a:xfrm>
        <a:custGeom>
          <a:avLst/>
          <a:gdLst/>
          <a:ahLst/>
          <a:cxnLst/>
          <a:rect l="0" t="0" r="0" b="0"/>
          <a:pathLst>
            <a:path>
              <a:moveTo>
                <a:pt x="277013" y="648147"/>
              </a:moveTo>
              <a:arcTo wR="1524403" hR="1524403" stAng="12905217" swAng="1130501"/>
            </a:path>
          </a:pathLst>
        </a:custGeom>
        <a:noFill/>
        <a:ln w="12700">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Conoce el Plan Anticorrupción y de Atención al Ciudadano y el Mapa de Riesgos de Corrupción de CORPAMAG para la vigencia 2022.</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29E236-7E6F-4870-8C6A-DFFB25510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Template>
  <TotalTime>149</TotalTime>
  <Pages>21</Pages>
  <Words>4382</Words>
  <Characters>24102</Characters>
  <Application>Microsoft Office Word</Application>
  <DocSecurity>0</DocSecurity>
  <Lines>200</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Andrea Carolina Rodriguez Loaiza</cp:lastModifiedBy>
  <cp:revision>7</cp:revision>
  <cp:lastPrinted>2006-08-01T17:47:00Z</cp:lastPrinted>
  <dcterms:created xsi:type="dcterms:W3CDTF">2022-09-12T16:21:00Z</dcterms:created>
  <dcterms:modified xsi:type="dcterms:W3CDTF">2022-12-12T22:38:00Z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