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0D2691" w:rsidP="00D70D02">
      <w:pPr>
        <w:rPr>
          <w:noProof/>
        </w:rPr>
      </w:pPr>
      <w:r>
        <w:rPr>
          <w:noProof/>
          <w:lang w:val="es-CO" w:eastAsia="es-CO"/>
        </w:rPr>
        <w:drawing>
          <wp:anchor distT="0" distB="0" distL="114300" distR="114300" simplePos="0" relativeHeight="251658240" behindDoc="1" locked="0" layoutInCell="1" allowOverlap="1" wp14:anchorId="06A93801" wp14:editId="24D620FB">
            <wp:simplePos x="0" y="0"/>
            <wp:positionH relativeFrom="column">
              <wp:posOffset>-608965</wp:posOffset>
            </wp:positionH>
            <wp:positionV relativeFrom="page">
              <wp:posOffset>-138355</wp:posOffset>
            </wp:positionV>
            <wp:extent cx="8196580" cy="6425565"/>
            <wp:effectExtent l="0" t="0" r="0" b="0"/>
            <wp:wrapNone/>
            <wp:docPr id="1" name="Imagen 1" descr="Imagen de pescador en una barca en medio de la Ciénaga" title="Pes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rotWithShape="1">
                    <a:blip r:embed="rId8" cstate="print">
                      <a:extLst>
                        <a:ext uri="{28A0092B-C50C-407E-A947-70E740481C1C}">
                          <a14:useLocalDpi xmlns:a14="http://schemas.microsoft.com/office/drawing/2010/main" val="0"/>
                        </a:ext>
                      </a:extLst>
                    </a:blip>
                    <a:srcRect l="11782" r="9882"/>
                    <a:stretch/>
                  </pic:blipFill>
                  <pic:spPr bwMode="auto">
                    <a:xfrm flipH="1">
                      <a:off x="0" y="0"/>
                      <a:ext cx="8196580" cy="6425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rsidTr="00310BED">
        <w:trPr>
          <w:trHeight w:val="270"/>
        </w:trPr>
        <w:tc>
          <w:tcPr>
            <w:tcW w:w="5500" w:type="dxa"/>
            <w:tcBorders>
              <w:top w:val="nil"/>
              <w:left w:val="nil"/>
              <w:bottom w:val="nil"/>
              <w:right w:val="nil"/>
            </w:tcBorders>
          </w:tcPr>
          <w:p w:rsidR="00310BED" w:rsidRDefault="00310BED" w:rsidP="00310BED">
            <w:pPr>
              <w:rPr>
                <w:noProof/>
              </w:rPr>
            </w:pPr>
          </w:p>
          <w:p w:rsidR="00310BED" w:rsidRPr="00C10414" w:rsidRDefault="00310BED" w:rsidP="00310BED">
            <w:pPr>
              <w:pStyle w:val="Ttulo"/>
              <w:rPr>
                <w:sz w:val="60"/>
                <w:szCs w:val="60"/>
                <w:lang w:bidi="es-ES"/>
              </w:rPr>
            </w:pPr>
            <w:r w:rsidRPr="00C10414">
              <w:rPr>
                <w:sz w:val="60"/>
                <w:szCs w:val="60"/>
                <w:lang w:bidi="es-ES"/>
              </w:rPr>
              <w:t xml:space="preserve">PLAN ANTICORRUPCIÓN </w:t>
            </w:r>
          </w:p>
          <w:p w:rsidR="00310BED" w:rsidRPr="00C10414" w:rsidRDefault="00310BED" w:rsidP="00B93B8B">
            <w:pPr>
              <w:pStyle w:val="Ttulo"/>
              <w:rPr>
                <w:sz w:val="60"/>
                <w:szCs w:val="60"/>
                <w:lang w:bidi="es-ES"/>
              </w:rPr>
            </w:pPr>
            <w:r w:rsidRPr="00C10414">
              <w:rPr>
                <w:sz w:val="60"/>
                <w:szCs w:val="60"/>
                <w:lang w:bidi="es-ES"/>
              </w:rPr>
              <w:t xml:space="preserve">Y DE ATENCIÓN AL CIUDADANO </w:t>
            </w:r>
          </w:p>
          <w:p w:rsidR="00310BED" w:rsidRPr="00C10414" w:rsidRDefault="00310BED" w:rsidP="00310BED">
            <w:pPr>
              <w:pStyle w:val="Ttulo"/>
              <w:jc w:val="both"/>
              <w:rPr>
                <w:szCs w:val="60"/>
                <w:lang w:bidi="es-ES"/>
              </w:rPr>
            </w:pPr>
          </w:p>
          <w:p w:rsidR="00310BED" w:rsidRPr="00C10414" w:rsidRDefault="00310BED" w:rsidP="00310BED">
            <w:pPr>
              <w:pStyle w:val="Ttulo"/>
              <w:jc w:val="both"/>
              <w:rPr>
                <w:szCs w:val="60"/>
                <w:lang w:bidi="es-ES"/>
              </w:rPr>
            </w:pPr>
            <w:r w:rsidRPr="00C10414">
              <w:rPr>
                <w:szCs w:val="60"/>
                <w:lang w:bidi="es-ES"/>
              </w:rPr>
              <w:t xml:space="preserve">Y </w:t>
            </w:r>
          </w:p>
          <w:p w:rsidR="00310BED" w:rsidRPr="00C10414" w:rsidRDefault="00310BED" w:rsidP="00310BED">
            <w:pPr>
              <w:pStyle w:val="Ttulo"/>
              <w:jc w:val="both"/>
              <w:rPr>
                <w:sz w:val="60"/>
                <w:szCs w:val="60"/>
                <w:lang w:bidi="es-ES"/>
              </w:rPr>
            </w:pPr>
          </w:p>
          <w:p w:rsidR="00310BED" w:rsidRPr="00C10414" w:rsidRDefault="00310BED" w:rsidP="00B93B8B">
            <w:pPr>
              <w:pStyle w:val="Ttulo"/>
              <w:rPr>
                <w:sz w:val="60"/>
                <w:szCs w:val="60"/>
                <w:lang w:bidi="es-ES"/>
              </w:rPr>
            </w:pPr>
            <w:r w:rsidRPr="00C10414">
              <w:rPr>
                <w:sz w:val="60"/>
                <w:szCs w:val="60"/>
                <w:lang w:bidi="es-ES"/>
              </w:rPr>
              <w:t>MAPA DE RIESGOS DE CORRUPCIÓN</w:t>
            </w:r>
          </w:p>
          <w:p w:rsidR="00310BED" w:rsidRPr="00C10414" w:rsidRDefault="00310BED" w:rsidP="00310BED">
            <w:pPr>
              <w:pStyle w:val="Ttulo"/>
              <w:jc w:val="both"/>
              <w:rPr>
                <w:sz w:val="60"/>
                <w:szCs w:val="60"/>
                <w:lang w:bidi="es-ES"/>
              </w:rPr>
            </w:pPr>
          </w:p>
          <w:p w:rsidR="00310BED" w:rsidRPr="00C10414" w:rsidRDefault="00310BED" w:rsidP="00310BED">
            <w:pPr>
              <w:pStyle w:val="Ttulo"/>
              <w:jc w:val="both"/>
              <w:rPr>
                <w:sz w:val="96"/>
                <w:szCs w:val="60"/>
                <w:lang w:bidi="es-ES"/>
              </w:rPr>
            </w:pPr>
            <w:r w:rsidRPr="00C10414">
              <w:rPr>
                <w:sz w:val="96"/>
                <w:szCs w:val="60"/>
                <w:lang w:bidi="es-ES"/>
              </w:rPr>
              <w:t>2021</w:t>
            </w:r>
          </w:p>
          <w:p w:rsidR="00310BED" w:rsidRDefault="00310BED" w:rsidP="00310BED">
            <w:pPr>
              <w:rPr>
                <w:noProof/>
              </w:rPr>
            </w:pPr>
          </w:p>
        </w:tc>
      </w:tr>
      <w:tr w:rsidR="00310BED" w:rsidTr="00310BED">
        <w:trPr>
          <w:trHeight w:val="1043"/>
        </w:trPr>
        <w:tc>
          <w:tcPr>
            <w:tcW w:w="5500" w:type="dxa"/>
            <w:tcBorders>
              <w:top w:val="nil"/>
              <w:left w:val="nil"/>
              <w:bottom w:val="nil"/>
              <w:right w:val="nil"/>
            </w:tcBorders>
          </w:tcPr>
          <w:p w:rsidR="00310BED" w:rsidRDefault="00310BED" w:rsidP="00310BED">
            <w:pPr>
              <w:rPr>
                <w:noProof/>
              </w:rPr>
            </w:pPr>
          </w:p>
        </w:tc>
      </w:tr>
      <w:tr w:rsidR="00310BED" w:rsidTr="00310BED">
        <w:trPr>
          <w:trHeight w:val="348"/>
        </w:trPr>
        <w:tc>
          <w:tcPr>
            <w:tcW w:w="5500" w:type="dxa"/>
            <w:tcBorders>
              <w:top w:val="nil"/>
              <w:left w:val="nil"/>
              <w:bottom w:val="nil"/>
              <w:right w:val="nil"/>
            </w:tcBorders>
          </w:tcPr>
          <w:p w:rsidR="00310BED" w:rsidRPr="00D86945" w:rsidRDefault="00310BED" w:rsidP="00310BED">
            <w:pPr>
              <w:rPr>
                <w:noProof/>
                <w:sz w:val="10"/>
                <w:szCs w:val="10"/>
              </w:rPr>
            </w:pPr>
          </w:p>
        </w:tc>
      </w:tr>
    </w:tbl>
    <w:p w:rsidR="00043A3F" w:rsidRPr="00F2634D" w:rsidRDefault="00613CE8" w:rsidP="00043A3F">
      <w:r>
        <w:rPr>
          <w:noProof/>
          <w:lang w:val="es-CO" w:eastAsia="es-CO"/>
        </w:rPr>
        <mc:AlternateContent>
          <mc:Choice Requires="wps">
            <w:drawing>
              <wp:anchor distT="0" distB="0" distL="114300" distR="114300" simplePos="0" relativeHeight="251659264" behindDoc="1" locked="0" layoutInCell="1" allowOverlap="1" wp14:anchorId="3AAFC59E" wp14:editId="043D158B">
                <wp:simplePos x="0" y="0"/>
                <wp:positionH relativeFrom="column">
                  <wp:posOffset>-744485</wp:posOffset>
                </wp:positionH>
                <wp:positionV relativeFrom="page">
                  <wp:posOffset>6455390</wp:posOffset>
                </wp:positionV>
                <wp:extent cx="7760970" cy="4189863"/>
                <wp:effectExtent l="76200" t="57150" r="68580" b="9652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189863"/>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C480D" id="Rectángulo 2" o:spid="_x0000_s1026" alt="rectángulo de color" style="position:absolute;margin-left:-58.6pt;margin-top:508.3pt;width:611.1pt;height:329.9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" fillcolor="#34aba2 [3206]" strokecolor="white [3201]" strokeweight="3pt">
                <v:shadow on="t" color="black" opacity="28270f" origin=",.5" offset="0"/>
                <w10:wrap anchory="page"/>
              </v:rect>
            </w:pict>
          </mc:Fallback>
        </mc:AlternateContent>
      </w:r>
      <w:r w:rsidR="00C85E6B" w:rsidRPr="00D967AC">
        <w:rPr>
          <w:noProof/>
          <w:lang w:val="es-CO" w:eastAsia="es-CO"/>
        </w:rPr>
        <w:drawing>
          <wp:anchor distT="0" distB="0" distL="114300" distR="114300" simplePos="0" relativeHeight="251661312" behindDoc="0" locked="0" layoutInCell="1" allowOverlap="1" wp14:anchorId="49EB3FEE" wp14:editId="61007071">
            <wp:simplePos x="0" y="0"/>
            <wp:positionH relativeFrom="column">
              <wp:posOffset>4133834</wp:posOffset>
            </wp:positionH>
            <wp:positionV relativeFrom="page">
              <wp:posOffset>7545854</wp:posOffset>
            </wp:positionV>
            <wp:extent cx="2442845" cy="1181100"/>
            <wp:effectExtent l="0" t="0" r="0" b="0"/>
            <wp:wrapNone/>
            <wp:docPr id="12" name="Gráfico 201" descr="Imagen del Logo de la Cororación" title="Logo Corpamag">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181100"/>
                    </a:xfrm>
                    <a:prstGeom prst="rect">
                      <a:avLst/>
                    </a:prstGeom>
                  </pic:spPr>
                </pic:pic>
              </a:graphicData>
            </a:graphic>
            <wp14:sizeRelH relativeFrom="margin">
              <wp14:pctWidth>0</wp14:pctWidth>
            </wp14:sizeRelH>
            <wp14:sizeRelV relativeFrom="margin">
              <wp14:pctHeight>0</wp14:pctHeight>
            </wp14:sizeRelV>
          </wp:anchor>
        </w:drawing>
      </w:r>
      <w:r w:rsidR="00310BED">
        <w:rPr>
          <w:noProof/>
          <w:lang w:val="es-CO" w:eastAsia="es-CO"/>
        </w:rPr>
        <mc:AlternateContent>
          <mc:Choice Requires="wps">
            <w:drawing>
              <wp:anchor distT="0" distB="0" distL="114300" distR="114300" simplePos="0" relativeHeight="251663360" behindDoc="1" locked="0" layoutInCell="1" allowOverlap="1" wp14:anchorId="50A19BD5" wp14:editId="62E41ACF">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E4A8"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rsidR="00043A3F" w:rsidRPr="00A7635E" w:rsidRDefault="00043A3F" w:rsidP="00043A3F">
      <w:pPr>
        <w:pStyle w:val="Ttulo1"/>
        <w:rPr>
          <w:b w:val="0"/>
          <w:bCs/>
        </w:rPr>
      </w:pPr>
      <w:r>
        <w:rPr>
          <w:bCs/>
        </w:rPr>
        <w:t>1</w:t>
      </w:r>
      <w:r w:rsidRPr="00A7635E">
        <w:rPr>
          <w:bCs/>
        </w:rPr>
        <w:t>. INTRODUCCIÓN</w:t>
      </w: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La Corporación Autónoma Regional de Magdalena (CORPAMAG) en cumplimiento de los artículo 73 y 76 de la Ley 1474 de 2011 y el Decreto Reglamentario 124 de 2016, presenta el Plan Anticorrupción y de Atención al Ciudadano para la vigencia 2021,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rsidR="00043A3F" w:rsidRPr="00613EFB" w:rsidRDefault="00043A3F" w:rsidP="00043A3F">
      <w:pPr>
        <w:autoSpaceDE w:val="0"/>
        <w:autoSpaceDN w:val="0"/>
        <w:adjustRightInd w:val="0"/>
        <w:spacing w:line="240" w:lineRule="auto"/>
        <w:jc w:val="both"/>
        <w:rPr>
          <w:rFonts w:cstheme="minorHAnsi"/>
          <w:b w:val="0"/>
          <w:szCs w:val="19"/>
        </w:rPr>
      </w:pPr>
    </w:p>
    <w:p w:rsidR="00043A3F" w:rsidRPr="00613EFB"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4384" behindDoc="0" locked="0" layoutInCell="1" allowOverlap="1">
            <wp:simplePos x="0" y="0"/>
            <wp:positionH relativeFrom="column">
              <wp:posOffset>836792</wp:posOffset>
            </wp:positionH>
            <wp:positionV relativeFrom="paragraph">
              <wp:posOffset>91109</wp:posOffset>
            </wp:positionV>
            <wp:extent cx="4856480" cy="3696970"/>
            <wp:effectExtent l="0" t="95250" r="0" b="11303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043A3F" w:rsidRDefault="00043A3F" w:rsidP="00043A3F">
      <w:pPr>
        <w:pStyle w:val="Ttulo1"/>
        <w:rPr>
          <w:bCs/>
        </w:rPr>
      </w:pPr>
      <w:r w:rsidRPr="00A7635E">
        <w:rPr>
          <w:bCs/>
        </w:rPr>
        <w:lastRenderedPageBreak/>
        <w:t>2. OBJETIVO</w:t>
      </w:r>
      <w:r>
        <w:rPr>
          <w:bCs/>
        </w:rPr>
        <w:t>S</w:t>
      </w:r>
    </w:p>
    <w:p w:rsidR="00613EFB" w:rsidRDefault="00613EFB" w:rsidP="00043A3F">
      <w:pPr>
        <w:pStyle w:val="Ttulo1"/>
        <w:rPr>
          <w:b w:val="0"/>
          <w:bCs/>
        </w:rPr>
      </w:pPr>
    </w:p>
    <w:p w:rsidR="00043A3F" w:rsidRPr="00613EFB" w:rsidRDefault="00043A3F" w:rsidP="00043A3F">
      <w:pPr>
        <w:pStyle w:val="Ttulo1"/>
        <w:rPr>
          <w:bCs/>
          <w:sz w:val="32"/>
          <w:szCs w:val="26"/>
        </w:rPr>
      </w:pPr>
      <w:r w:rsidRPr="00613EFB">
        <w:rPr>
          <w:bCs/>
          <w:sz w:val="72"/>
        </w:rPr>
        <w:t xml:space="preserve"> </w:t>
      </w:r>
      <w:r w:rsidRPr="00613EFB">
        <w:rPr>
          <w:bCs/>
          <w:sz w:val="32"/>
          <w:szCs w:val="26"/>
        </w:rPr>
        <w:t>2.1 Objetivo general</w:t>
      </w:r>
    </w:p>
    <w:p w:rsidR="00043A3F" w:rsidRPr="00A7635E" w:rsidRDefault="00043A3F" w:rsidP="00043A3F">
      <w:pPr>
        <w:autoSpaceDE w:val="0"/>
        <w:autoSpaceDN w:val="0"/>
        <w:adjustRightInd w:val="0"/>
        <w:spacing w:line="240" w:lineRule="auto"/>
        <w:jc w:val="both"/>
        <w:rPr>
          <w:rFonts w:ascii="FuturaStd-Light" w:hAnsi="FuturaStd-Light" w:cs="FuturaStd-Light"/>
          <w:sz w:val="19"/>
          <w:szCs w:val="19"/>
        </w:rPr>
      </w:pPr>
    </w:p>
    <w:p w:rsidR="00D777E9"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Definir estrategias que garanticen que las acciones de la Corporación estén encaminadas en el marco de la legalidad y transparencia en todos sus procesos.</w:t>
      </w:r>
    </w:p>
    <w:p w:rsidR="00043A3F" w:rsidRDefault="00D777E9" w:rsidP="000C2FAE">
      <w:pPr>
        <w:autoSpaceDE w:val="0"/>
        <w:autoSpaceDN w:val="0"/>
        <w:adjustRightInd w:val="0"/>
        <w:spacing w:line="240" w:lineRule="auto"/>
        <w:ind w:right="395"/>
        <w:jc w:val="both"/>
        <w:rPr>
          <w:rFonts w:ascii="FuturaStd-Light" w:hAnsi="FuturaStd-Light" w:cs="FuturaStd-Light"/>
          <w:sz w:val="19"/>
          <w:szCs w:val="19"/>
        </w:rPr>
      </w:pPr>
      <w:r>
        <w:rPr>
          <w:rFonts w:ascii="FuturaStd-Light" w:hAnsi="FuturaStd-Light" w:cs="FuturaStd-Light"/>
          <w:sz w:val="19"/>
          <w:szCs w:val="19"/>
        </w:rPr>
        <w:t xml:space="preserve"> </w:t>
      </w:r>
    </w:p>
    <w:p w:rsidR="00043A3F" w:rsidRPr="00613EFB" w:rsidRDefault="00043A3F" w:rsidP="000C2FAE">
      <w:pPr>
        <w:pStyle w:val="Ttulo1"/>
        <w:spacing w:after="240"/>
        <w:ind w:right="395"/>
        <w:rPr>
          <w:sz w:val="72"/>
        </w:rPr>
      </w:pPr>
      <w:r w:rsidRPr="00613EFB">
        <w:rPr>
          <w:bCs/>
          <w:sz w:val="32"/>
          <w:szCs w:val="26"/>
        </w:rPr>
        <w:t xml:space="preserve">2.2 Objetivos específicos </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Identificar, analizar, prevenir y controlar los riesgos de corrupción</w:t>
      </w:r>
      <w:r w:rsidR="00B93B8B">
        <w:rPr>
          <w:rFonts w:cstheme="minorHAnsi"/>
          <w:b w:val="0"/>
          <w:szCs w:val="24"/>
        </w:rPr>
        <w:t xml:space="preserve"> que se pueden presentar en la C</w:t>
      </w:r>
      <w:r w:rsidRPr="00613EFB">
        <w:rPr>
          <w:rFonts w:cstheme="minorHAnsi"/>
          <w:b w:val="0"/>
          <w:szCs w:val="24"/>
        </w:rPr>
        <w:t>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Estandarizar, automatizar y racionalizar los trámites y otros procedimientos administrativos que favorezcan la atención de los grupos de interés de la Corporación.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Implementar acciones que garanticen dentro de la gestión de la Corporación el desarrollo de espacios y canales de comunicación para informar de manera permanente a los grupos de interés y la ciudadanía.</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Fortalecer</w:t>
      </w:r>
      <w:r w:rsidR="00B93B8B">
        <w:rPr>
          <w:rFonts w:cstheme="minorHAnsi"/>
          <w:b w:val="0"/>
          <w:szCs w:val="24"/>
        </w:rPr>
        <w:t xml:space="preserve"> los mecanismos de Atención al C</w:t>
      </w:r>
      <w:r w:rsidRPr="00613EFB">
        <w:rPr>
          <w:rFonts w:cstheme="minorHAnsi"/>
          <w:b w:val="0"/>
          <w:szCs w:val="24"/>
        </w:rPr>
        <w:t>iudadano asegurando una mejora en la prestación del servicio y satisfacción de los usuarios de la Corporación.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Generar lineamientos que permitan la eficacia de las acciones en materia de transparencia, buen gobierno, información y comunicación.</w:t>
      </w:r>
    </w:p>
    <w:p w:rsidR="00043A3F" w:rsidRPr="00613EFB" w:rsidRDefault="00043A3F" w:rsidP="000C2FAE">
      <w:pPr>
        <w:numPr>
          <w:ilvl w:val="0"/>
          <w:numId w:val="1"/>
        </w:numPr>
        <w:autoSpaceDE w:val="0"/>
        <w:autoSpaceDN w:val="0"/>
        <w:adjustRightInd w:val="0"/>
        <w:spacing w:line="240" w:lineRule="auto"/>
        <w:ind w:right="395"/>
        <w:jc w:val="both"/>
        <w:rPr>
          <w:rFonts w:cstheme="minorHAnsi"/>
          <w:b w:val="0"/>
          <w:szCs w:val="24"/>
        </w:rPr>
      </w:pPr>
      <w:r w:rsidRPr="00613EFB">
        <w:rPr>
          <w:rFonts w:cstheme="minorHAnsi"/>
          <w:b w:val="0"/>
          <w:szCs w:val="24"/>
        </w:rPr>
        <w:t>Promover y fortalecer la gestión de los colaboradores de la Corporación, en el marco de una cultura de integridad y legalidad.</w:t>
      </w:r>
    </w:p>
    <w:p w:rsidR="00613EFB" w:rsidRDefault="00613EFB">
      <w:pPr>
        <w:spacing w:after="200"/>
        <w:rPr>
          <w:rFonts w:ascii="FuturaStd-Light" w:hAnsi="FuturaStd-Light" w:cs="FuturaStd-Light"/>
          <w:sz w:val="19"/>
          <w:szCs w:val="19"/>
        </w:rPr>
      </w:pPr>
      <w:r>
        <w:rPr>
          <w:rFonts w:ascii="FuturaStd-Light" w:hAnsi="FuturaStd-Light" w:cs="FuturaStd-Light"/>
          <w:sz w:val="19"/>
          <w:szCs w:val="19"/>
        </w:rPr>
        <w:br w:type="page"/>
      </w:r>
    </w:p>
    <w:p w:rsidR="00B126DA" w:rsidRDefault="00B126DA" w:rsidP="00043A3F">
      <w:pPr>
        <w:pStyle w:val="Ttulo1"/>
        <w:rPr>
          <w:bCs/>
        </w:rPr>
        <w:sectPr w:rsidR="00B126DA" w:rsidSect="00433238">
          <w:headerReference w:type="default" r:id="rId15"/>
          <w:footerReference w:type="default" r:id="rId16"/>
          <w:pgSz w:w="11906" w:h="16838" w:code="9"/>
          <w:pgMar w:top="720" w:right="936" w:bottom="720" w:left="936" w:header="0" w:footer="289" w:gutter="0"/>
          <w:pgNumType w:start="1"/>
          <w:cols w:space="720"/>
          <w:titlePg/>
          <w:docGrid w:linePitch="382"/>
        </w:sectPr>
      </w:pPr>
    </w:p>
    <w:p w:rsidR="00043A3F" w:rsidRPr="00A7635E" w:rsidRDefault="00043A3F" w:rsidP="00B126DA">
      <w:pPr>
        <w:pStyle w:val="Ttulo1"/>
        <w:jc w:val="center"/>
        <w:rPr>
          <w:b w:val="0"/>
          <w:bCs/>
        </w:rPr>
      </w:pPr>
      <w:r w:rsidRPr="00A7635E">
        <w:rPr>
          <w:bCs/>
        </w:rPr>
        <w:lastRenderedPageBreak/>
        <w:t>3. COMPONENTES QUE INTEGRAN EL PLAN</w:t>
      </w:r>
    </w:p>
    <w:p w:rsidR="00043A3F" w:rsidRDefault="00043A3F" w:rsidP="00043A3F">
      <w:pPr>
        <w:jc w:val="center"/>
        <w:rPr>
          <w:rFonts w:ascii="FuturaStd-Light" w:hAnsi="FuturaStd-Light" w:cs="FuturaStd-Light"/>
          <w:b w:val="0"/>
          <w:bCs/>
          <w:sz w:val="19"/>
          <w:szCs w:val="19"/>
        </w:rPr>
      </w:pPr>
    </w:p>
    <w:p w:rsidR="00043A3F" w:rsidRPr="008D250C" w:rsidRDefault="00043A3F" w:rsidP="005E29F9">
      <w:pPr>
        <w:pStyle w:val="Ttulo"/>
        <w:rPr>
          <w:sz w:val="36"/>
          <w:szCs w:val="32"/>
        </w:rPr>
      </w:pPr>
      <w:r w:rsidRPr="008D250C">
        <w:rPr>
          <w:sz w:val="36"/>
          <w:szCs w:val="32"/>
        </w:rPr>
        <w:t xml:space="preserve">3.1. Gestión del Riesgo de Corrupción - Mapa de Riesgos de Corrupción </w:t>
      </w:r>
    </w:p>
    <w:p w:rsidR="00043A3F" w:rsidRDefault="00043A3F" w:rsidP="000C2FAE">
      <w:pPr>
        <w:autoSpaceDE w:val="0"/>
        <w:autoSpaceDN w:val="0"/>
        <w:adjustRightInd w:val="0"/>
        <w:spacing w:line="240" w:lineRule="auto"/>
        <w:ind w:right="1081"/>
        <w:jc w:val="both"/>
        <w:rPr>
          <w:rFonts w:cstheme="minorHAnsi"/>
          <w:b w:val="0"/>
          <w:szCs w:val="28"/>
        </w:rPr>
      </w:pPr>
      <w:r w:rsidRPr="005E29F9">
        <w:rPr>
          <w:rFonts w:cstheme="minorHAnsi"/>
          <w:b w:val="0"/>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rsidR="00656552" w:rsidRDefault="00656552" w:rsidP="00043A3F">
      <w:pPr>
        <w:autoSpaceDE w:val="0"/>
        <w:autoSpaceDN w:val="0"/>
        <w:adjustRightInd w:val="0"/>
        <w:spacing w:line="240" w:lineRule="auto"/>
        <w:jc w:val="both"/>
        <w:rPr>
          <w:rFonts w:cstheme="minorHAnsi"/>
          <w:b w:val="0"/>
          <w:szCs w:val="28"/>
        </w:rPr>
      </w:pPr>
    </w:p>
    <w:tbl>
      <w:tblPr>
        <w:tblW w:w="13355" w:type="dxa"/>
        <w:jc w:val="center"/>
        <w:tblCellMar>
          <w:left w:w="70" w:type="dxa"/>
          <w:right w:w="70" w:type="dxa"/>
        </w:tblCellMar>
        <w:tblLook w:val="04A0" w:firstRow="1" w:lastRow="0" w:firstColumn="1" w:lastColumn="0" w:noHBand="0" w:noVBand="1"/>
      </w:tblPr>
      <w:tblGrid>
        <w:gridCol w:w="1880"/>
        <w:gridCol w:w="444"/>
        <w:gridCol w:w="4052"/>
        <w:gridCol w:w="2577"/>
        <w:gridCol w:w="2600"/>
        <w:gridCol w:w="1802"/>
      </w:tblGrid>
      <w:tr w:rsidR="00B75AFB" w:rsidRPr="00B75AFB" w:rsidTr="00072014">
        <w:trPr>
          <w:trHeight w:val="216"/>
          <w:jc w:val="center"/>
        </w:trPr>
        <w:tc>
          <w:tcPr>
            <w:tcW w:w="13355"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 xml:space="preserve">Componente 1: Gestión del Riesgo de Corrupción </w:t>
            </w:r>
          </w:p>
        </w:tc>
      </w:tr>
      <w:tr w:rsidR="00B75AFB" w:rsidRPr="00B75AFB" w:rsidTr="00072014">
        <w:trPr>
          <w:trHeight w:val="369"/>
          <w:jc w:val="center"/>
        </w:trPr>
        <w:tc>
          <w:tcPr>
            <w:tcW w:w="1823" w:type="dxa"/>
            <w:tcBorders>
              <w:top w:val="nil"/>
              <w:left w:val="single" w:sz="4" w:space="0" w:color="A6A6A6"/>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 procesos</w:t>
            </w:r>
          </w:p>
        </w:tc>
        <w:tc>
          <w:tcPr>
            <w:tcW w:w="4514" w:type="dxa"/>
            <w:gridSpan w:val="2"/>
            <w:tcBorders>
              <w:top w:val="single" w:sz="4" w:space="0" w:color="A6A6A6"/>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Actividades</w:t>
            </w:r>
          </w:p>
        </w:tc>
        <w:tc>
          <w:tcPr>
            <w:tcW w:w="2592"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Meta o producto</w:t>
            </w:r>
          </w:p>
        </w:tc>
        <w:tc>
          <w:tcPr>
            <w:tcW w:w="2619"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Responsable</w:t>
            </w:r>
          </w:p>
        </w:tc>
        <w:tc>
          <w:tcPr>
            <w:tcW w:w="1805"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 xml:space="preserve">Fecha programada </w:t>
            </w:r>
          </w:p>
        </w:tc>
      </w:tr>
      <w:tr w:rsidR="00B75AFB" w:rsidRPr="00B75AFB" w:rsidTr="00072014">
        <w:trPr>
          <w:trHeight w:val="859"/>
          <w:jc w:val="center"/>
        </w:trPr>
        <w:tc>
          <w:tcPr>
            <w:tcW w:w="1823"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1</w:t>
            </w:r>
            <w:r w:rsidRPr="00B75AFB">
              <w:rPr>
                <w:rFonts w:eastAsia="Times New Roman" w:cstheme="minorHAnsi"/>
                <w:bCs/>
                <w:color w:val="000000"/>
                <w:sz w:val="24"/>
                <w:szCs w:val="24"/>
                <w:lang w:val="es-CO" w:eastAsia="es-CO"/>
              </w:rPr>
              <w:br/>
              <w:t>Política de Administración de Riesgos</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1.1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Actualizar la política de riesgos vigente de acuerdo con los nuevos lineamientos de la "Guía para la administración del riesgo y el diseño de controles en entidades públicas" del DAFP.</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Política de administración de riesgos actualizada</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31/8/2021</w:t>
            </w:r>
          </w:p>
        </w:tc>
      </w:tr>
      <w:tr w:rsidR="00B75AFB" w:rsidRPr="00B75AFB" w:rsidTr="00072014">
        <w:trPr>
          <w:trHeight w:val="369"/>
          <w:jc w:val="center"/>
        </w:trPr>
        <w:tc>
          <w:tcPr>
            <w:tcW w:w="1823" w:type="dxa"/>
            <w:vMerge/>
            <w:tcBorders>
              <w:top w:val="nil"/>
              <w:left w:val="single" w:sz="4" w:space="0" w:color="A6A6A6"/>
              <w:bottom w:val="single" w:sz="4" w:space="0" w:color="A6A6A6"/>
              <w:right w:val="single" w:sz="4" w:space="0" w:color="A6A6A6"/>
            </w:tcBorders>
            <w:vAlign w:val="center"/>
            <w:hideMark/>
          </w:tcPr>
          <w:p w:rsidR="00B75AFB" w:rsidRPr="00B75AFB" w:rsidRDefault="00B75AFB" w:rsidP="00B75AFB">
            <w:pPr>
              <w:spacing w:line="240" w:lineRule="auto"/>
              <w:rPr>
                <w:rFonts w:eastAsia="Times New Roman" w:cstheme="minorHAnsi"/>
                <w:bCs/>
                <w:color w:val="000000"/>
                <w:sz w:val="24"/>
                <w:szCs w:val="24"/>
                <w:lang w:val="es-CO" w:eastAsia="es-CO"/>
              </w:rPr>
            </w:pP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1.2</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socialización de la Política de Administración de Riesgo</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Política de administración de riesgos socializada</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30/9/2021</w:t>
            </w:r>
          </w:p>
        </w:tc>
      </w:tr>
      <w:tr w:rsidR="00B75AFB" w:rsidRPr="00B75AFB" w:rsidTr="00072014">
        <w:trPr>
          <w:trHeight w:val="924"/>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2</w:t>
            </w:r>
            <w:r w:rsidRPr="00B75AFB">
              <w:rPr>
                <w:rFonts w:eastAsia="Times New Roman" w:cstheme="minorHAnsi"/>
                <w:bCs/>
                <w:color w:val="000000"/>
                <w:sz w:val="24"/>
                <w:szCs w:val="24"/>
                <w:lang w:val="es-CO" w:eastAsia="es-CO"/>
              </w:rPr>
              <w:br/>
              <w:t>Construcción del Mapa de Riesgos de Corrupción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2.1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Revisar y actualizar el Mapa de riesgos de corrupción con </w:t>
            </w:r>
            <w:r w:rsidR="00072014">
              <w:rPr>
                <w:rFonts w:eastAsia="Times New Roman" w:cstheme="minorHAnsi"/>
                <w:b w:val="0"/>
                <w:color w:val="000000"/>
                <w:sz w:val="24"/>
                <w:szCs w:val="24"/>
                <w:lang w:val="es-CO" w:eastAsia="es-CO"/>
              </w:rPr>
              <w:t>cada uno de los procesos de la C</w:t>
            </w:r>
            <w:r w:rsidRPr="00B75AFB">
              <w:rPr>
                <w:rFonts w:eastAsia="Times New Roman" w:cstheme="minorHAnsi"/>
                <w:b w:val="0"/>
                <w:color w:val="000000"/>
                <w:sz w:val="24"/>
                <w:szCs w:val="24"/>
                <w:lang w:val="es-CO" w:eastAsia="es-CO"/>
              </w:rPr>
              <w:t>orporación.</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Mapa de riesgos de corrupción actualizado</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B75AFB">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Oficina de Planeación y Lí</w:t>
            </w:r>
            <w:r w:rsidR="00B75AFB" w:rsidRPr="00B75AFB">
              <w:rPr>
                <w:rFonts w:eastAsia="Times New Roman" w:cstheme="minorHAnsi"/>
                <w:b w:val="0"/>
                <w:color w:val="000000"/>
                <w:sz w:val="24"/>
                <w:szCs w:val="24"/>
                <w:lang w:val="es-CO" w:eastAsia="es-CO"/>
              </w:rPr>
              <w:t>deres de Procesos</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30/11/2021</w:t>
            </w:r>
          </w:p>
        </w:tc>
      </w:tr>
      <w:tr w:rsidR="00B75AFB" w:rsidRPr="00B75AFB" w:rsidTr="00072014">
        <w:trPr>
          <w:trHeight w:val="750"/>
          <w:jc w:val="center"/>
        </w:trPr>
        <w:tc>
          <w:tcPr>
            <w:tcW w:w="1823"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3</w:t>
            </w:r>
            <w:r w:rsidRPr="00B75AFB">
              <w:rPr>
                <w:rFonts w:eastAsia="Times New Roman" w:cstheme="minorHAnsi"/>
                <w:bCs/>
                <w:color w:val="000000"/>
                <w:sz w:val="24"/>
                <w:szCs w:val="24"/>
                <w:lang w:val="es-CO" w:eastAsia="es-CO"/>
              </w:rPr>
              <w:br/>
              <w:t>Consulta y divulgación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072014">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publicación del proy</w:t>
            </w:r>
            <w:r w:rsidR="00072014">
              <w:rPr>
                <w:rFonts w:eastAsia="Times New Roman" w:cstheme="minorHAnsi"/>
                <w:b w:val="0"/>
                <w:color w:val="000000"/>
                <w:sz w:val="24"/>
                <w:szCs w:val="24"/>
                <w:lang w:val="es-CO" w:eastAsia="es-CO"/>
              </w:rPr>
              <w:t>ecto del Plan Anticorrupción y Atención al Ciudadano y del Mapa de Riesgos de C</w:t>
            </w:r>
            <w:r w:rsidRPr="00B75AFB">
              <w:rPr>
                <w:rFonts w:eastAsia="Times New Roman" w:cstheme="minorHAnsi"/>
                <w:b w:val="0"/>
                <w:color w:val="000000"/>
                <w:sz w:val="24"/>
                <w:szCs w:val="24"/>
                <w:lang w:val="es-CO" w:eastAsia="es-CO"/>
              </w:rPr>
              <w:t>orrupción, para consulta y aportes de mejora de la ciudadanía.</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B75AFB">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Proyecto del PAAC y Mapa de Riesgos de C</w:t>
            </w:r>
            <w:r w:rsidR="00B75AFB" w:rsidRPr="00B75AFB">
              <w:rPr>
                <w:rFonts w:eastAsia="Times New Roman" w:cstheme="minorHAnsi"/>
                <w:b w:val="0"/>
                <w:color w:val="000000"/>
                <w:sz w:val="24"/>
                <w:szCs w:val="24"/>
                <w:lang w:val="es-CO" w:eastAsia="es-CO"/>
              </w:rPr>
              <w:t>orrupción de la vigencia publicado en página web</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Desde 20/01/2021  Hasta 29/01/2021</w:t>
            </w:r>
          </w:p>
        </w:tc>
      </w:tr>
      <w:tr w:rsidR="00B75AFB" w:rsidRPr="00B75AFB" w:rsidTr="00072014">
        <w:trPr>
          <w:trHeight w:val="805"/>
          <w:jc w:val="center"/>
        </w:trPr>
        <w:tc>
          <w:tcPr>
            <w:tcW w:w="1823" w:type="dxa"/>
            <w:vMerge/>
            <w:tcBorders>
              <w:top w:val="nil"/>
              <w:left w:val="single" w:sz="4" w:space="0" w:color="A6A6A6"/>
              <w:bottom w:val="single" w:sz="4" w:space="0" w:color="A6A6A6"/>
              <w:right w:val="single" w:sz="4" w:space="0" w:color="A6A6A6"/>
            </w:tcBorders>
            <w:vAlign w:val="center"/>
            <w:hideMark/>
          </w:tcPr>
          <w:p w:rsidR="00B75AFB" w:rsidRPr="00B75AFB" w:rsidRDefault="00B75AFB" w:rsidP="00B75AFB">
            <w:pPr>
              <w:spacing w:line="240" w:lineRule="auto"/>
              <w:rPr>
                <w:rFonts w:eastAsia="Times New Roman" w:cstheme="minorHAnsi"/>
                <w:bCs/>
                <w:color w:val="000000"/>
                <w:sz w:val="24"/>
                <w:szCs w:val="24"/>
                <w:lang w:val="es-CO" w:eastAsia="es-CO"/>
              </w:rPr>
            </w:pP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3.2</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072014">
            <w:pPr>
              <w:spacing w:line="240" w:lineRule="auto"/>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Realizar publicación del Plan Anticorrupción y A</w:t>
            </w:r>
            <w:r w:rsidR="00B75AFB" w:rsidRPr="00B75AFB">
              <w:rPr>
                <w:rFonts w:eastAsia="Times New Roman" w:cstheme="minorHAnsi"/>
                <w:b w:val="0"/>
                <w:color w:val="000000"/>
                <w:sz w:val="24"/>
                <w:szCs w:val="24"/>
                <w:lang w:val="es-CO" w:eastAsia="es-CO"/>
              </w:rPr>
              <w:t xml:space="preserve">tención al ciudadano y del Mapa de </w:t>
            </w:r>
            <w:r>
              <w:rPr>
                <w:rFonts w:eastAsia="Times New Roman" w:cstheme="minorHAnsi"/>
                <w:b w:val="0"/>
                <w:color w:val="000000"/>
                <w:sz w:val="24"/>
                <w:szCs w:val="24"/>
                <w:lang w:val="es-CO" w:eastAsia="es-CO"/>
              </w:rPr>
              <w:t>Riesgos de C</w:t>
            </w:r>
            <w:r w:rsidR="00B75AFB" w:rsidRPr="00B75AFB">
              <w:rPr>
                <w:rFonts w:eastAsia="Times New Roman" w:cstheme="minorHAnsi"/>
                <w:b w:val="0"/>
                <w:color w:val="000000"/>
                <w:sz w:val="24"/>
                <w:szCs w:val="24"/>
                <w:lang w:val="es-CO" w:eastAsia="es-CO"/>
              </w:rPr>
              <w:t xml:space="preserve">orrupción </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072014">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Plan A</w:t>
            </w:r>
            <w:r w:rsidR="00B75AFB" w:rsidRPr="00B75AFB">
              <w:rPr>
                <w:rFonts w:eastAsia="Times New Roman" w:cstheme="minorHAnsi"/>
                <w:b w:val="0"/>
                <w:color w:val="000000"/>
                <w:sz w:val="24"/>
                <w:szCs w:val="24"/>
                <w:lang w:val="es-CO" w:eastAsia="es-CO"/>
              </w:rPr>
              <w:t xml:space="preserve">nticorrupción y </w:t>
            </w:r>
            <w:r>
              <w:rPr>
                <w:rFonts w:eastAsia="Times New Roman" w:cstheme="minorHAnsi"/>
                <w:b w:val="0"/>
                <w:color w:val="000000"/>
                <w:sz w:val="24"/>
                <w:szCs w:val="24"/>
                <w:lang w:val="es-CO" w:eastAsia="es-CO"/>
              </w:rPr>
              <w:t>Atención al Ciudadano y Mapa de R</w:t>
            </w:r>
            <w:r w:rsidR="00B75AFB" w:rsidRPr="00B75AFB">
              <w:rPr>
                <w:rFonts w:eastAsia="Times New Roman" w:cstheme="minorHAnsi"/>
                <w:b w:val="0"/>
                <w:color w:val="000000"/>
                <w:sz w:val="24"/>
                <w:szCs w:val="24"/>
                <w:lang w:val="es-CO" w:eastAsia="es-CO"/>
              </w:rPr>
              <w:t xml:space="preserve">iesgos de </w:t>
            </w:r>
            <w:r>
              <w:rPr>
                <w:rFonts w:eastAsia="Times New Roman" w:cstheme="minorHAnsi"/>
                <w:b w:val="0"/>
                <w:color w:val="000000"/>
                <w:sz w:val="24"/>
                <w:szCs w:val="24"/>
                <w:lang w:val="es-CO" w:eastAsia="es-CO"/>
              </w:rPr>
              <w:t>C</w:t>
            </w:r>
            <w:r w:rsidR="00B75AFB" w:rsidRPr="00B75AFB">
              <w:rPr>
                <w:rFonts w:eastAsia="Times New Roman" w:cstheme="minorHAnsi"/>
                <w:b w:val="0"/>
                <w:color w:val="000000"/>
                <w:sz w:val="24"/>
                <w:szCs w:val="24"/>
                <w:lang w:val="es-CO" w:eastAsia="es-CO"/>
              </w:rPr>
              <w:t>orrupción de la vigencia publicados en página web</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Oficina de Planeación </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31/1/2021</w:t>
            </w:r>
          </w:p>
        </w:tc>
      </w:tr>
      <w:tr w:rsidR="00B75AFB" w:rsidRPr="00B75AFB" w:rsidTr="00072014">
        <w:trPr>
          <w:trHeight w:val="530"/>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lastRenderedPageBreak/>
              <w:t>Subcomponente/</w:t>
            </w:r>
            <w:r w:rsidRPr="00B75AFB">
              <w:rPr>
                <w:rFonts w:eastAsia="Times New Roman" w:cstheme="minorHAnsi"/>
                <w:bCs/>
                <w:color w:val="000000"/>
                <w:sz w:val="24"/>
                <w:szCs w:val="24"/>
                <w:lang w:val="es-CO" w:eastAsia="es-CO"/>
              </w:rPr>
              <w:br/>
              <w:t>proceso 4</w:t>
            </w:r>
            <w:r w:rsidRPr="00B75AFB">
              <w:rPr>
                <w:rFonts w:eastAsia="Times New Roman" w:cstheme="minorHAnsi"/>
                <w:bCs/>
                <w:color w:val="000000"/>
                <w:sz w:val="24"/>
                <w:szCs w:val="24"/>
                <w:lang w:val="es-CO" w:eastAsia="es-CO"/>
              </w:rPr>
              <w:br/>
              <w:t>Monitorio y revisión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4.1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monitoreo a los controles establecidos, con el fin de evaluar su efectividad</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Monitoreos realizados</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Líderes de Procesos</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De acuerdo a las fechas definidas en cada uno de los componentes del PAAC y Mapa de riesgos de corrupción de los procesos</w:t>
            </w:r>
          </w:p>
        </w:tc>
      </w:tr>
      <w:tr w:rsidR="00B75AFB" w:rsidRPr="00B75AFB" w:rsidTr="00072014">
        <w:trPr>
          <w:trHeight w:val="771"/>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5</w:t>
            </w:r>
            <w:r w:rsidRPr="00B75AFB">
              <w:rPr>
                <w:rFonts w:eastAsia="Times New Roman" w:cstheme="minorHAnsi"/>
                <w:bCs/>
                <w:color w:val="000000"/>
                <w:sz w:val="24"/>
                <w:szCs w:val="24"/>
                <w:lang w:val="es-CO" w:eastAsia="es-CO"/>
              </w:rPr>
              <w:br/>
              <w:t>Seguimiento</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5.1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072014">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Realizar seguimiento al Plan </w:t>
            </w:r>
            <w:r w:rsidR="00072014">
              <w:rPr>
                <w:rFonts w:eastAsia="Times New Roman" w:cstheme="minorHAnsi"/>
                <w:b w:val="0"/>
                <w:color w:val="000000"/>
                <w:sz w:val="24"/>
                <w:szCs w:val="24"/>
                <w:lang w:val="es-CO" w:eastAsia="es-CO"/>
              </w:rPr>
              <w:t>A</w:t>
            </w:r>
            <w:r w:rsidRPr="00B75AFB">
              <w:rPr>
                <w:rFonts w:eastAsia="Times New Roman" w:cstheme="minorHAnsi"/>
                <w:b w:val="0"/>
                <w:color w:val="000000"/>
                <w:sz w:val="24"/>
                <w:szCs w:val="24"/>
                <w:lang w:val="es-CO" w:eastAsia="es-CO"/>
              </w:rPr>
              <w:t xml:space="preserve">nticorrupción y </w:t>
            </w:r>
            <w:r w:rsidR="00072014">
              <w:rPr>
                <w:rFonts w:eastAsia="Times New Roman" w:cstheme="minorHAnsi"/>
                <w:b w:val="0"/>
                <w:color w:val="000000"/>
                <w:sz w:val="24"/>
                <w:szCs w:val="24"/>
                <w:lang w:val="es-CO" w:eastAsia="es-CO"/>
              </w:rPr>
              <w:t>A</w:t>
            </w:r>
            <w:r w:rsidRPr="00B75AFB">
              <w:rPr>
                <w:rFonts w:eastAsia="Times New Roman" w:cstheme="minorHAnsi"/>
                <w:b w:val="0"/>
                <w:color w:val="000000"/>
                <w:sz w:val="24"/>
                <w:szCs w:val="24"/>
                <w:lang w:val="es-CO" w:eastAsia="es-CO"/>
              </w:rPr>
              <w:t>ten</w:t>
            </w:r>
            <w:r w:rsidR="00072014">
              <w:rPr>
                <w:rFonts w:eastAsia="Times New Roman" w:cstheme="minorHAnsi"/>
                <w:b w:val="0"/>
                <w:color w:val="000000"/>
                <w:sz w:val="24"/>
                <w:szCs w:val="24"/>
                <w:lang w:val="es-CO" w:eastAsia="es-CO"/>
              </w:rPr>
              <w:t>ción al ciudadano y al Mapa de Riesgos de C</w:t>
            </w:r>
            <w:r w:rsidRPr="00B75AFB">
              <w:rPr>
                <w:rFonts w:eastAsia="Times New Roman" w:cstheme="minorHAnsi"/>
                <w:b w:val="0"/>
                <w:color w:val="000000"/>
                <w:sz w:val="24"/>
                <w:szCs w:val="24"/>
                <w:lang w:val="es-CO" w:eastAsia="es-CO"/>
              </w:rPr>
              <w:t>orrupción</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Informe cuatrimestral</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Asesor de Dirección con funciones de Control Interno </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31/05/2021</w:t>
            </w:r>
            <w:r w:rsidRPr="00B75AFB">
              <w:rPr>
                <w:rFonts w:eastAsia="Times New Roman" w:cstheme="minorHAnsi"/>
                <w:b w:val="0"/>
                <w:color w:val="000000"/>
                <w:sz w:val="24"/>
                <w:szCs w:val="24"/>
                <w:lang w:val="es-CO" w:eastAsia="es-CO"/>
              </w:rPr>
              <w:br/>
              <w:t>30/09/2021</w:t>
            </w:r>
            <w:r w:rsidRPr="00B75AFB">
              <w:rPr>
                <w:rFonts w:eastAsia="Times New Roman" w:cstheme="minorHAnsi"/>
                <w:b w:val="0"/>
                <w:color w:val="000000"/>
                <w:sz w:val="24"/>
                <w:szCs w:val="24"/>
                <w:lang w:val="es-CO" w:eastAsia="es-CO"/>
              </w:rPr>
              <w:br/>
              <w:t>20/01/2022</w:t>
            </w:r>
          </w:p>
        </w:tc>
      </w:tr>
    </w:tbl>
    <w:p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rsidR="00043A3F" w:rsidRPr="008D250C" w:rsidRDefault="00043A3F" w:rsidP="008D250C">
      <w:pPr>
        <w:pStyle w:val="Ttulo"/>
        <w:rPr>
          <w:sz w:val="36"/>
        </w:rPr>
      </w:pPr>
      <w:r w:rsidRPr="008D250C">
        <w:rPr>
          <w:sz w:val="36"/>
        </w:rPr>
        <w:lastRenderedPageBreak/>
        <w:t xml:space="preserve">3.2. Racionalización de Trámites </w:t>
      </w:r>
    </w:p>
    <w:p w:rsidR="00043A3F" w:rsidRPr="00B2663D" w:rsidRDefault="00043A3F" w:rsidP="000C2FAE">
      <w:pPr>
        <w:autoSpaceDE w:val="0"/>
        <w:autoSpaceDN w:val="0"/>
        <w:adjustRightInd w:val="0"/>
        <w:spacing w:line="240" w:lineRule="auto"/>
        <w:ind w:right="797"/>
        <w:jc w:val="both"/>
        <w:rPr>
          <w:rFonts w:cstheme="minorHAnsi"/>
          <w:b w:val="0"/>
          <w:szCs w:val="28"/>
        </w:rPr>
      </w:pPr>
      <w:r w:rsidRPr="00B2663D">
        <w:rPr>
          <w:rFonts w:cstheme="minorHAnsi"/>
          <w:b w:val="0"/>
          <w:szCs w:val="28"/>
        </w:rPr>
        <w:t xml:space="preserve">Facilita el acceso a los servicios que brinda la administración pública, y </w:t>
      </w:r>
      <w:r w:rsidR="000C2FAE" w:rsidRPr="00B2663D">
        <w:rPr>
          <w:rFonts w:cstheme="minorHAnsi"/>
          <w:b w:val="0"/>
          <w:szCs w:val="28"/>
        </w:rPr>
        <w:t>les</w:t>
      </w:r>
      <w:r w:rsidRPr="00B2663D">
        <w:rPr>
          <w:rFonts w:cstheme="minorHAnsi"/>
          <w:b w:val="0"/>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tbl>
      <w:tblPr>
        <w:tblW w:w="14822" w:type="dxa"/>
        <w:tblCellMar>
          <w:left w:w="70" w:type="dxa"/>
          <w:right w:w="70" w:type="dxa"/>
        </w:tblCellMar>
        <w:tblLook w:val="04A0" w:firstRow="1" w:lastRow="0" w:firstColumn="1" w:lastColumn="0" w:noHBand="0" w:noVBand="1"/>
      </w:tblPr>
      <w:tblGrid>
        <w:gridCol w:w="374"/>
        <w:gridCol w:w="1781"/>
        <w:gridCol w:w="1934"/>
        <w:gridCol w:w="1934"/>
        <w:gridCol w:w="1557"/>
        <w:gridCol w:w="1781"/>
        <w:gridCol w:w="1555"/>
        <w:gridCol w:w="1514"/>
        <w:gridCol w:w="1135"/>
        <w:gridCol w:w="1251"/>
        <w:gridCol w:w="6"/>
      </w:tblGrid>
      <w:tr w:rsidR="008C777D" w:rsidRPr="008C777D" w:rsidTr="000C2FAE">
        <w:trPr>
          <w:trHeight w:val="232"/>
        </w:trPr>
        <w:tc>
          <w:tcPr>
            <w:tcW w:w="14822" w:type="dxa"/>
            <w:gridSpan w:val="11"/>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4"/>
                <w:lang w:val="es-CO" w:eastAsia="es-CO"/>
              </w:rPr>
            </w:pPr>
            <w:r w:rsidRPr="008C777D">
              <w:rPr>
                <w:rFonts w:eastAsia="Times New Roman" w:cstheme="minorHAnsi"/>
                <w:bCs/>
                <w:color w:val="000000"/>
                <w:sz w:val="24"/>
                <w:lang w:val="es-CO" w:eastAsia="es-CO"/>
              </w:rPr>
              <w:t>Componente 2: Estrategia de Racionalización de Trámites</w:t>
            </w:r>
          </w:p>
        </w:tc>
      </w:tr>
      <w:tr w:rsidR="008C777D" w:rsidRPr="008C777D" w:rsidTr="000C2FAE">
        <w:trPr>
          <w:gridAfter w:val="1"/>
          <w:wAfter w:w="5" w:type="dxa"/>
          <w:trHeight w:val="232"/>
        </w:trPr>
        <w:tc>
          <w:tcPr>
            <w:tcW w:w="375"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N°</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NOMBRE DEL TRÁMITE, PROCESO O PROCEDIMIENTO</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TIPO DE RACIONALIZACIÓN</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ACCIÓN ESPECÍFICA DE RACIONALIZACIÓN</w:t>
            </w:r>
          </w:p>
        </w:tc>
        <w:tc>
          <w:tcPr>
            <w:tcW w:w="1557"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SITUACIÓN ACTUAL</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DESCRIPCIÓN DE LA MEJORA A REALIZAR AL TRAMITE, PROCESO O PROCEDIMIENTO</w:t>
            </w:r>
          </w:p>
        </w:tc>
        <w:tc>
          <w:tcPr>
            <w:tcW w:w="1555"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BENEFICIO AL CIUDADANO Y/O ENTIDAD</w:t>
            </w:r>
          </w:p>
        </w:tc>
        <w:tc>
          <w:tcPr>
            <w:tcW w:w="151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DEPENDENCIA RESPONSABLE</w:t>
            </w:r>
          </w:p>
        </w:tc>
        <w:tc>
          <w:tcPr>
            <w:tcW w:w="2386" w:type="dxa"/>
            <w:gridSpan w:val="2"/>
            <w:tcBorders>
              <w:top w:val="single" w:sz="4" w:space="0" w:color="A6A6A6"/>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REALIZACIÓN</w:t>
            </w:r>
          </w:p>
        </w:tc>
      </w:tr>
      <w:tr w:rsidR="000C2FAE" w:rsidRPr="008C777D" w:rsidTr="000C2FAE">
        <w:trPr>
          <w:gridAfter w:val="1"/>
          <w:wAfter w:w="6" w:type="dxa"/>
          <w:trHeight w:val="489"/>
        </w:trPr>
        <w:tc>
          <w:tcPr>
            <w:tcW w:w="375"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57"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55"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1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135" w:type="dxa"/>
            <w:tcBorders>
              <w:top w:val="nil"/>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INICIO</w:t>
            </w:r>
          </w:p>
        </w:tc>
        <w:tc>
          <w:tcPr>
            <w:tcW w:w="1250" w:type="dxa"/>
            <w:tcBorders>
              <w:top w:val="nil"/>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FINAL</w:t>
            </w:r>
          </w:p>
        </w:tc>
      </w:tr>
      <w:tr w:rsidR="000C2FAE" w:rsidRPr="008C777D" w:rsidTr="000C2FAE">
        <w:trPr>
          <w:gridAfter w:val="1"/>
          <w:wAfter w:w="6" w:type="dxa"/>
          <w:trHeight w:val="251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1</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xml:space="preserve">El ciudadano realiza el pago de la liquidación en la entidad bancaria y el comprobante debe presentarlo ante la tesorería de Corpamag para obtener el comprobante </w:t>
            </w:r>
            <w:r w:rsidRPr="008C777D">
              <w:rPr>
                <w:rFonts w:eastAsia="Times New Roman" w:cstheme="minorHAnsi"/>
                <w:b w:val="0"/>
                <w:color w:val="000000"/>
                <w:sz w:val="22"/>
                <w:lang w:val="es-CO" w:eastAsia="es-CO"/>
              </w:rPr>
              <w:lastRenderedPageBreak/>
              <w:t>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Ahorro en tiempo de la gestión del ciudadano por no tener que devolverse a Corpamag a entregar los comprobantes.</w:t>
            </w:r>
            <w:r w:rsidRPr="008C777D">
              <w:rPr>
                <w:rFonts w:eastAsia="Times New Roman" w:cstheme="minorHAnsi"/>
                <w:b w:val="0"/>
                <w:color w:val="000000"/>
                <w:sz w:val="22"/>
                <w:lang w:val="es-CO" w:eastAsia="es-CO"/>
              </w:rPr>
              <w:br/>
              <w:t xml:space="preserve">- Ahorro en dinero por movilización hacia y entre entidades para </w:t>
            </w:r>
            <w:r w:rsidRPr="008C777D">
              <w:rPr>
                <w:rFonts w:eastAsia="Times New Roman" w:cstheme="minorHAnsi"/>
                <w:b w:val="0"/>
                <w:color w:val="000000"/>
                <w:sz w:val="22"/>
                <w:lang w:val="es-CO" w:eastAsia="es-CO"/>
              </w:rPr>
              <w:lastRenderedPageBreak/>
              <w:t>entrega de los comprobantes</w:t>
            </w:r>
            <w:r w:rsidRPr="008C777D">
              <w:rPr>
                <w:rFonts w:eastAsia="Times New Roman" w:cstheme="minorHAnsi"/>
                <w:b w:val="0"/>
                <w:color w:val="000000"/>
                <w:sz w:val="22"/>
                <w:lang w:val="es-CO" w:eastAsia="es-CO"/>
              </w:rPr>
              <w:br/>
              <w:t>- Mejora en la calidad de vida de los 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1/2/2021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5055CA" w:rsidP="008C777D">
            <w:pPr>
              <w:spacing w:line="240" w:lineRule="auto"/>
              <w:jc w:val="center"/>
              <w:rPr>
                <w:rFonts w:eastAsia="Times New Roman" w:cstheme="minorHAnsi"/>
                <w:b w:val="0"/>
                <w:color w:val="000000"/>
                <w:sz w:val="22"/>
                <w:lang w:val="es-CO" w:eastAsia="es-CO"/>
              </w:rPr>
            </w:pPr>
            <w:r>
              <w:rPr>
                <w:rFonts w:eastAsia="Times New Roman" w:cstheme="minorHAnsi"/>
                <w:b w:val="0"/>
                <w:color w:val="000000"/>
                <w:sz w:val="22"/>
                <w:lang w:val="es-CO" w:eastAsia="es-CO"/>
              </w:rPr>
              <w:t>2022</w:t>
            </w:r>
          </w:p>
        </w:tc>
      </w:tr>
      <w:tr w:rsidR="000C2FAE" w:rsidRPr="008C777D" w:rsidTr="000C2FAE">
        <w:trPr>
          <w:gridAfter w:val="1"/>
          <w:wAfter w:w="6" w:type="dxa"/>
          <w:trHeight w:val="1253"/>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2</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No se pueden relacionar las consignaciones realizadas por los usuarios de los trámites a menos que los mismos presenten ante la Tesorería de Corpamag el comprobante respectivo.</w:t>
            </w:r>
            <w:r w:rsidRPr="008C777D">
              <w:rPr>
                <w:rFonts w:eastAsia="Times New Roman" w:cstheme="minorHAnsi"/>
                <w:b w:val="0"/>
                <w:color w:val="000000"/>
                <w:sz w:val="22"/>
                <w:lang w:val="es-CO" w:eastAsia="es-CO"/>
              </w:rPr>
              <w:br/>
              <w:t xml:space="preserve">- Se les requiere la radicación del comprobante de Ingreso producido por la Tesorería al </w:t>
            </w:r>
            <w:r w:rsidRPr="008C777D">
              <w:rPr>
                <w:rFonts w:eastAsia="Times New Roman" w:cstheme="minorHAnsi"/>
                <w:b w:val="0"/>
                <w:color w:val="000000"/>
                <w:sz w:val="22"/>
                <w:lang w:val="es-CO" w:eastAsia="es-CO"/>
              </w:rPr>
              <w:lastRenderedPageBreak/>
              <w:t>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La Corporación obtiene de manera directa de la Entidad Bancaria la información relacionada con las consignaciones permitiendo 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Se elimina la necesidad del ciudadano de gestionar ante Corpamag los comprobantes de consignación 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Gestión financiera</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1/11/2021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5055CA" w:rsidP="008C777D">
            <w:pPr>
              <w:spacing w:line="240" w:lineRule="auto"/>
              <w:jc w:val="center"/>
              <w:rPr>
                <w:rFonts w:eastAsia="Times New Roman" w:cstheme="minorHAnsi"/>
                <w:b w:val="0"/>
                <w:color w:val="000000"/>
                <w:sz w:val="22"/>
                <w:lang w:val="es-CO" w:eastAsia="es-CO"/>
              </w:rPr>
            </w:pPr>
            <w:r>
              <w:rPr>
                <w:rFonts w:eastAsia="Times New Roman" w:cstheme="minorHAnsi"/>
                <w:b w:val="0"/>
                <w:color w:val="000000"/>
                <w:sz w:val="22"/>
                <w:lang w:val="es-CO" w:eastAsia="es-CO"/>
              </w:rPr>
              <w:t>2022</w:t>
            </w:r>
          </w:p>
        </w:tc>
      </w:tr>
      <w:tr w:rsidR="000C2FAE" w:rsidRPr="008C777D" w:rsidTr="000C2FAE">
        <w:trPr>
          <w:gridAfter w:val="1"/>
          <w:wAfter w:w="6" w:type="dxa"/>
          <w:trHeight w:val="3027"/>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3</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El ciudadano realiza el pago de la liquidación en la entidad bancaria y el comprobante debe presentarlo ante la tesorería de Corpamag para obtener el comprobante 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Ahorro en tiempo de la gestión del ciudadano por no tener que devolverse a Corpamag a entregar los comprobantes.</w:t>
            </w:r>
            <w:r w:rsidRPr="008C777D">
              <w:rPr>
                <w:rFonts w:eastAsia="Times New Roman" w:cstheme="minorHAnsi"/>
                <w:b w:val="0"/>
                <w:color w:val="000000"/>
                <w:sz w:val="22"/>
                <w:lang w:val="es-CO" w:eastAsia="es-CO"/>
              </w:rPr>
              <w:br/>
              <w:t>- Ahorro en dinero por movilización hacia y entre entidades para entrega de los comprobantes</w:t>
            </w:r>
            <w:r w:rsidRPr="008C777D">
              <w:rPr>
                <w:rFonts w:eastAsia="Times New Roman" w:cstheme="minorHAnsi"/>
                <w:b w:val="0"/>
                <w:color w:val="000000"/>
                <w:sz w:val="22"/>
                <w:lang w:val="es-CO" w:eastAsia="es-CO"/>
              </w:rPr>
              <w:br/>
              <w:t>- Mejora en la calidad de vida de los 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1/2/2021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5055CA" w:rsidP="008C777D">
            <w:pPr>
              <w:spacing w:line="240" w:lineRule="auto"/>
              <w:jc w:val="center"/>
              <w:rPr>
                <w:rFonts w:eastAsia="Times New Roman" w:cstheme="minorHAnsi"/>
                <w:b w:val="0"/>
                <w:color w:val="000000"/>
                <w:sz w:val="22"/>
                <w:lang w:val="es-CO" w:eastAsia="es-CO"/>
              </w:rPr>
            </w:pPr>
            <w:r>
              <w:rPr>
                <w:rFonts w:eastAsia="Times New Roman" w:cstheme="minorHAnsi"/>
                <w:b w:val="0"/>
                <w:color w:val="000000"/>
                <w:sz w:val="22"/>
                <w:lang w:val="es-CO" w:eastAsia="es-CO"/>
              </w:rPr>
              <w:t>2022</w:t>
            </w:r>
          </w:p>
        </w:tc>
      </w:tr>
      <w:tr w:rsidR="000C2FAE" w:rsidRPr="008C777D" w:rsidTr="000C2FAE">
        <w:trPr>
          <w:gridAfter w:val="1"/>
          <w:wAfter w:w="6" w:type="dxa"/>
          <w:trHeight w:val="206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4</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No se pueden relacionar las consignaciones realizadas por los usuarios de los trámites a menos que los mismos presenten ante la Tesorería de Corpamag el comprobante respectivo.</w:t>
            </w:r>
            <w:r w:rsidRPr="008C777D">
              <w:rPr>
                <w:rFonts w:eastAsia="Times New Roman" w:cstheme="minorHAnsi"/>
                <w:b w:val="0"/>
                <w:color w:val="000000"/>
                <w:sz w:val="22"/>
                <w:lang w:val="es-CO" w:eastAsia="es-CO"/>
              </w:rPr>
              <w:br/>
              <w:t>- Se les requiere la radicación del comprobante de Ingreso producido por la Tesorería al 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La Corporación obtiene de manera directa de la Entidad Bancaria la información relacionada con las consignaciones permitiendo 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Se elimina la necesidad del ciudadano de gestionar ante Corpamag los comprobantes de consignación 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Gestión financiera</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1/11/2021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5055CA" w:rsidP="008C777D">
            <w:pPr>
              <w:spacing w:line="240" w:lineRule="auto"/>
              <w:jc w:val="center"/>
              <w:rPr>
                <w:rFonts w:eastAsia="Times New Roman" w:cstheme="minorHAnsi"/>
                <w:b w:val="0"/>
                <w:color w:val="000000"/>
                <w:sz w:val="22"/>
                <w:lang w:val="es-CO" w:eastAsia="es-CO"/>
              </w:rPr>
            </w:pPr>
            <w:r>
              <w:rPr>
                <w:rFonts w:eastAsia="Times New Roman" w:cstheme="minorHAnsi"/>
                <w:b w:val="0"/>
                <w:color w:val="000000"/>
                <w:sz w:val="22"/>
                <w:lang w:val="es-CO" w:eastAsia="es-CO"/>
              </w:rPr>
              <w:t>2022</w:t>
            </w:r>
          </w:p>
        </w:tc>
      </w:tr>
    </w:tbl>
    <w:p w:rsidR="00080EDB" w:rsidRDefault="00080EDB">
      <w:pPr>
        <w:spacing w:after="200"/>
        <w:rPr>
          <w:rFonts w:asciiTheme="majorHAnsi" w:eastAsiaTheme="majorEastAsia" w:hAnsiTheme="majorHAnsi" w:cstheme="majorBidi"/>
          <w:bCs/>
          <w:sz w:val="32"/>
          <w:szCs w:val="32"/>
        </w:rPr>
      </w:pPr>
      <w:r>
        <w:rPr>
          <w:sz w:val="32"/>
          <w:szCs w:val="32"/>
        </w:rPr>
        <w:br w:type="page"/>
      </w:r>
    </w:p>
    <w:p w:rsidR="00043A3F" w:rsidRPr="008D250C" w:rsidRDefault="00043A3F" w:rsidP="00316E49">
      <w:pPr>
        <w:pStyle w:val="Ttulo"/>
        <w:rPr>
          <w:sz w:val="36"/>
          <w:szCs w:val="32"/>
        </w:rPr>
      </w:pPr>
      <w:r w:rsidRPr="008D250C">
        <w:rPr>
          <w:sz w:val="36"/>
          <w:szCs w:val="32"/>
        </w:rPr>
        <w:lastRenderedPageBreak/>
        <w:t xml:space="preserve">3.3. Rendición de Cuentas </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AD750D" w:rsidRDefault="00043A3F" w:rsidP="000C2FAE">
      <w:pPr>
        <w:autoSpaceDE w:val="0"/>
        <w:autoSpaceDN w:val="0"/>
        <w:adjustRightInd w:val="0"/>
        <w:spacing w:line="240" w:lineRule="auto"/>
        <w:ind w:right="939"/>
        <w:jc w:val="both"/>
        <w:rPr>
          <w:rFonts w:cstheme="minorHAnsi"/>
          <w:b w:val="0"/>
          <w:szCs w:val="28"/>
        </w:rPr>
      </w:pPr>
      <w:r w:rsidRPr="009C7368">
        <w:rPr>
          <w:rFonts w:cstheme="minorHAnsi"/>
          <w:b w:val="0"/>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bookmarkStart w:id="0" w:name="_GoBack"/>
      <w:bookmarkEnd w:id="0"/>
    </w:p>
    <w:p w:rsidR="000C2FAE" w:rsidRPr="000C2FAE" w:rsidRDefault="000C2FAE" w:rsidP="00043A3F">
      <w:pPr>
        <w:autoSpaceDE w:val="0"/>
        <w:autoSpaceDN w:val="0"/>
        <w:adjustRightInd w:val="0"/>
        <w:spacing w:line="240" w:lineRule="auto"/>
        <w:jc w:val="both"/>
        <w:rPr>
          <w:rFonts w:cstheme="minorHAnsi"/>
          <w:b w:val="0"/>
          <w:sz w:val="24"/>
          <w:szCs w:val="24"/>
        </w:rPr>
      </w:pPr>
    </w:p>
    <w:tbl>
      <w:tblPr>
        <w:tblW w:w="1408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1969"/>
        <w:gridCol w:w="448"/>
        <w:gridCol w:w="4882"/>
        <w:gridCol w:w="3044"/>
        <w:gridCol w:w="2339"/>
        <w:gridCol w:w="1400"/>
      </w:tblGrid>
      <w:tr w:rsidR="000C2FAE" w:rsidRPr="000C2FAE" w:rsidTr="00EB3223">
        <w:trPr>
          <w:trHeight w:val="280"/>
        </w:trPr>
        <w:tc>
          <w:tcPr>
            <w:tcW w:w="14082" w:type="dxa"/>
            <w:gridSpan w:val="6"/>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Componente 3:  Rendición de cuentas</w:t>
            </w:r>
          </w:p>
        </w:tc>
      </w:tr>
      <w:tr w:rsidR="000C2FAE" w:rsidRPr="000C2FAE" w:rsidTr="00EB3223">
        <w:trPr>
          <w:trHeight w:val="549"/>
        </w:trPr>
        <w:tc>
          <w:tcPr>
            <w:tcW w:w="1969" w:type="dxa"/>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w:t>
            </w:r>
            <w:r w:rsidRPr="000C2FAE">
              <w:rPr>
                <w:rFonts w:eastAsia="Times New Roman" w:cstheme="minorHAnsi"/>
                <w:bCs/>
                <w:color w:val="000000"/>
                <w:sz w:val="24"/>
                <w:szCs w:val="24"/>
                <w:lang w:val="es-CO" w:eastAsia="es-CO"/>
              </w:rPr>
              <w:br/>
              <w:t>procesos</w:t>
            </w:r>
          </w:p>
        </w:tc>
        <w:tc>
          <w:tcPr>
            <w:tcW w:w="5330" w:type="dxa"/>
            <w:gridSpan w:val="2"/>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Actividades</w:t>
            </w:r>
          </w:p>
        </w:tc>
        <w:tc>
          <w:tcPr>
            <w:tcW w:w="3044" w:type="dxa"/>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Meta o producto</w:t>
            </w:r>
          </w:p>
        </w:tc>
        <w:tc>
          <w:tcPr>
            <w:tcW w:w="2339" w:type="dxa"/>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Responsable</w:t>
            </w:r>
          </w:p>
        </w:tc>
        <w:tc>
          <w:tcPr>
            <w:tcW w:w="1397" w:type="dxa"/>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Fecha programada</w:t>
            </w:r>
          </w:p>
        </w:tc>
      </w:tr>
      <w:tr w:rsidR="000C2FAE" w:rsidRPr="000C2FAE" w:rsidTr="00EB3223">
        <w:trPr>
          <w:trHeight w:val="2304"/>
        </w:trPr>
        <w:tc>
          <w:tcPr>
            <w:tcW w:w="1969" w:type="dxa"/>
            <w:vMerge w:val="restart"/>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1</w:t>
            </w:r>
            <w:r w:rsidRPr="000C2FAE">
              <w:rPr>
                <w:rFonts w:eastAsia="Times New Roman" w:cstheme="minorHAnsi"/>
                <w:bCs/>
                <w:color w:val="000000"/>
                <w:sz w:val="24"/>
                <w:szCs w:val="24"/>
                <w:lang w:val="es-CO" w:eastAsia="es-CO"/>
              </w:rPr>
              <w:br/>
              <w:t>Información de calidad y en lenguaje comprensible</w:t>
            </w: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1.1</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Identificar temas y espacios de diálogos para la rendición de cuentas de la vigencia 2021.</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Temas y  espacios de rendición de cuentas de Corpamag identificados por dependencia.</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 Oficina de Planeación; Subdirección de Educación Ambiental; Subdirección Técnica; Subdirección de Gestión Ambiental; Secretaría General; Comunicaciones; Control Interno</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5/02/2021</w:t>
            </w:r>
          </w:p>
        </w:tc>
      </w:tr>
      <w:tr w:rsidR="000C2FAE" w:rsidRPr="000C2FAE" w:rsidTr="00EB3223">
        <w:trPr>
          <w:trHeight w:val="776"/>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1.2</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Publicar en la página web corporativa el Informe de Gestión Vigencia 2020 para garantizar el </w:t>
            </w:r>
            <w:r w:rsidRPr="000C2FAE">
              <w:rPr>
                <w:rFonts w:eastAsia="Times New Roman" w:cstheme="minorHAnsi"/>
                <w:b w:val="0"/>
                <w:color w:val="auto"/>
                <w:sz w:val="24"/>
                <w:szCs w:val="24"/>
                <w:lang w:val="es-CO" w:eastAsia="es-CO"/>
              </w:rPr>
              <w:lastRenderedPageBreak/>
              <w:t>acceso a la información a los ciudadanos en la Audiencia de Seguimiento al PAI.</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lastRenderedPageBreak/>
              <w:t xml:space="preserve">(1) Documento Informe de Gestión publicado en la </w:t>
            </w:r>
            <w:r w:rsidRPr="000C2FAE">
              <w:rPr>
                <w:rFonts w:eastAsia="Times New Roman" w:cstheme="minorHAnsi"/>
                <w:b w:val="0"/>
                <w:color w:val="auto"/>
                <w:sz w:val="24"/>
                <w:szCs w:val="24"/>
                <w:lang w:val="es-CO" w:eastAsia="es-CO"/>
              </w:rPr>
              <w:lastRenderedPageBreak/>
              <w:t xml:space="preserve">página web, en el tiempo exigido por la normatividad. </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lastRenderedPageBreak/>
              <w:t xml:space="preserve">Oficina de Planeación; Secretaría General </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7/04/2021</w:t>
            </w:r>
          </w:p>
        </w:tc>
      </w:tr>
      <w:tr w:rsidR="000C2FAE" w:rsidRPr="000C2FAE" w:rsidTr="00EB3223">
        <w:trPr>
          <w:trHeight w:val="522"/>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1.3</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Publicar en la página web corporativa el Acta y Resultados de la encuesta de la Audiencia de Seguimiento al PAI vigencia 2020</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(2) Documentos publicados en la página web</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Oficina de Planeación; Secretaría General </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31/05/2021</w:t>
            </w:r>
          </w:p>
        </w:tc>
      </w:tr>
      <w:tr w:rsidR="000C2FAE" w:rsidRPr="000C2FAE" w:rsidTr="00EB3223">
        <w:trPr>
          <w:trHeight w:val="1018"/>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1.4</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Generar información basada en datos, logros, avances de la gestión de acuerdo a los programas del POAI 2021, resaltando los temas priorizados por los grupos de interés y ciudadanos. </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Estrategia de Comunicaciones de Rendición de Cuentas</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Profesional de Comunicaciones / Equipo de Trabajo de la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30/04/2021</w:t>
            </w:r>
            <w:r w:rsidRPr="000C2FAE">
              <w:rPr>
                <w:rFonts w:eastAsia="Times New Roman" w:cstheme="minorHAnsi"/>
                <w:b w:val="0"/>
                <w:color w:val="auto"/>
                <w:sz w:val="24"/>
                <w:szCs w:val="24"/>
                <w:lang w:val="es-CO" w:eastAsia="es-CO"/>
              </w:rPr>
              <w:br/>
              <w:t>31/12/2021</w:t>
            </w:r>
          </w:p>
        </w:tc>
      </w:tr>
      <w:tr w:rsidR="000C2FAE" w:rsidRPr="000C2FAE" w:rsidTr="00EB3223">
        <w:trPr>
          <w:trHeight w:val="991"/>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1.5</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Actualizar la caracterización de usuarios y grupos interés de personas jurídicas.</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Un (1) documento de caracterización de Grupos de Interés Personas Jurídicas</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Todas las dependencias bajo el liderazgo del Equipo de Trabajo de la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1/06/2021</w:t>
            </w:r>
          </w:p>
        </w:tc>
      </w:tr>
      <w:tr w:rsidR="000C2FAE" w:rsidRPr="000C2FAE" w:rsidTr="00EB3223">
        <w:trPr>
          <w:trHeight w:val="1205"/>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1.6</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Definir guía para identificar y abordar claramente el procedimiento y formas de participación para los espacios de diálogos priorizados por Corpamag.  (Convocatoria - Tipos de Espacios - Metodología - Reglas para la Participación, Compromisos y Seguimiento)</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Un (1) documento Guía de Rendición de Cuentas de Corpamag</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26/02/2021</w:t>
            </w:r>
          </w:p>
        </w:tc>
      </w:tr>
      <w:tr w:rsidR="000C2FAE" w:rsidRPr="000C2FAE" w:rsidTr="00EB3223">
        <w:trPr>
          <w:trHeight w:val="1205"/>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1.7</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Publicar en página web el cronograma y evidencias de las actividades de rendición de cuentas de Corpamag. </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Enlace artículo en la página web </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Oficina de Planeación</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31/03/2021</w:t>
            </w:r>
          </w:p>
        </w:tc>
      </w:tr>
      <w:tr w:rsidR="000C2FAE" w:rsidRPr="000C2FAE" w:rsidTr="00EB3223">
        <w:trPr>
          <w:trHeight w:val="508"/>
        </w:trPr>
        <w:tc>
          <w:tcPr>
            <w:tcW w:w="1969" w:type="dxa"/>
            <w:vMerge w:val="restart"/>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lastRenderedPageBreak/>
              <w:t>Subcomponente 2</w:t>
            </w:r>
            <w:r w:rsidRPr="000C2FAE">
              <w:rPr>
                <w:rFonts w:eastAsia="Times New Roman" w:cstheme="minorHAnsi"/>
                <w:bCs/>
                <w:color w:val="000000"/>
                <w:sz w:val="24"/>
                <w:szCs w:val="24"/>
                <w:lang w:val="es-CO" w:eastAsia="es-CO"/>
              </w:rPr>
              <w:br/>
              <w:t>Diálogo de doble vía con la ciudadanía y sus organizaciones</w:t>
            </w: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2.1</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Realizar audiencia pública de seguimiento al Plan de Acción Cuatrienal </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 evento (virtual o presencial)</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30/04/2021</w:t>
            </w:r>
          </w:p>
        </w:tc>
      </w:tr>
      <w:tr w:rsidR="000C2FAE" w:rsidRPr="000C2FAE" w:rsidTr="00EB3223">
        <w:trPr>
          <w:trHeight w:val="1192"/>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2.2</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Coordinar con entidades del sector Ambiente, corresponsables en políticas y proyectos, los mecanismos, temas y espacios para realizar acciones de rendición de cuentas en forma cooperada.</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 evento realizado virtual</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31/07/2021</w:t>
            </w:r>
          </w:p>
        </w:tc>
      </w:tr>
      <w:tr w:rsidR="000C2FAE" w:rsidRPr="000C2FAE" w:rsidTr="00EB3223">
        <w:trPr>
          <w:trHeight w:val="736"/>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2.3</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Implementar los espacios de diálogos identificados para la vigencia 2021</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Número de espacios identificados y ejecutados (Virtual  o presencial)</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EB3223">
        <w:trPr>
          <w:trHeight w:val="669"/>
        </w:trPr>
        <w:tc>
          <w:tcPr>
            <w:tcW w:w="1969" w:type="dxa"/>
            <w:vMerge w:val="restart"/>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3</w:t>
            </w:r>
            <w:r w:rsidRPr="000C2FAE">
              <w:rPr>
                <w:rFonts w:eastAsia="Times New Roman" w:cstheme="minorHAnsi"/>
                <w:bCs/>
                <w:color w:val="000000"/>
                <w:sz w:val="24"/>
                <w:szCs w:val="24"/>
                <w:lang w:val="es-CO" w:eastAsia="es-CO"/>
              </w:rPr>
              <w:br/>
              <w:t>Incentivos para motivar la cultura de la rendición y petición de cuentas</w:t>
            </w: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3.1</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Capacitar a los funcionarios sobre la importancia de realizar rendiciones de cuentas</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Capacitaciones ejecutadas</w:t>
            </w:r>
            <w:r w:rsidRPr="000C2FAE">
              <w:rPr>
                <w:rFonts w:eastAsia="Times New Roman" w:cstheme="minorHAnsi"/>
                <w:b w:val="0"/>
                <w:color w:val="auto"/>
                <w:sz w:val="24"/>
                <w:szCs w:val="24"/>
                <w:lang w:val="es-CO" w:eastAsia="es-CO"/>
              </w:rPr>
              <w:br/>
              <w:t>Listado de asistencia</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EB3223">
        <w:trPr>
          <w:trHeight w:val="1286"/>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3.2</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Capacitaciones ejecutadas</w:t>
            </w:r>
            <w:r w:rsidRPr="000C2FAE">
              <w:rPr>
                <w:rFonts w:eastAsia="Times New Roman" w:cstheme="minorHAnsi"/>
                <w:b w:val="0"/>
                <w:color w:val="auto"/>
                <w:sz w:val="24"/>
                <w:szCs w:val="24"/>
                <w:lang w:val="es-CO" w:eastAsia="es-CO"/>
              </w:rPr>
              <w:br/>
              <w:t>Listado de asistencia</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EB3223">
        <w:trPr>
          <w:trHeight w:val="897"/>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3.3</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Publicar  los resultados de la rendición de cuentas clasificando por categorías, las observaciones y comentarios de los ciudadanos, los grupos de valor y organismos de control.</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Evidencias publicadas en página web</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Oficina de Planeación</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EB3223">
        <w:trPr>
          <w:trHeight w:val="897"/>
        </w:trPr>
        <w:tc>
          <w:tcPr>
            <w:tcW w:w="1969" w:type="dxa"/>
            <w:vMerge w:val="restart"/>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4</w:t>
            </w:r>
            <w:r w:rsidRPr="000C2FAE">
              <w:rPr>
                <w:rFonts w:eastAsia="Times New Roman" w:cstheme="minorHAnsi"/>
                <w:bCs/>
                <w:color w:val="000000"/>
                <w:sz w:val="24"/>
                <w:szCs w:val="24"/>
                <w:lang w:val="es-CO" w:eastAsia="es-CO"/>
              </w:rPr>
              <w:br/>
              <w:t xml:space="preserve">Evaluación y retroalimentación </w:t>
            </w:r>
            <w:r w:rsidRPr="000C2FAE">
              <w:rPr>
                <w:rFonts w:eastAsia="Times New Roman" w:cstheme="minorHAnsi"/>
                <w:bCs/>
                <w:color w:val="000000"/>
                <w:sz w:val="24"/>
                <w:szCs w:val="24"/>
                <w:lang w:val="es-CO" w:eastAsia="es-CO"/>
              </w:rPr>
              <w:lastRenderedPageBreak/>
              <w:t>a  la gestión institucional</w:t>
            </w: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lastRenderedPageBreak/>
              <w:t>4.1</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Socializar al interior de la entidad, los resultados del diagnóstico del proceso de rendición de cuentas institucional</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Informe de la implementación de la </w:t>
            </w:r>
            <w:r w:rsidRPr="000C2FAE">
              <w:rPr>
                <w:rFonts w:eastAsia="Times New Roman" w:cstheme="minorHAnsi"/>
                <w:b w:val="0"/>
                <w:color w:val="auto"/>
                <w:sz w:val="24"/>
                <w:szCs w:val="24"/>
                <w:lang w:val="es-CO" w:eastAsia="es-CO"/>
              </w:rPr>
              <w:lastRenderedPageBreak/>
              <w:t>estrategia de rendición de cuentas</w:t>
            </w:r>
          </w:p>
        </w:tc>
        <w:tc>
          <w:tcPr>
            <w:tcW w:w="2339"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lastRenderedPageBreak/>
              <w:t>Equipo de Trabajo de la Rendición de Cuentas</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EB3223">
        <w:trPr>
          <w:trHeight w:val="897"/>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4.2</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Incluir en el Informe de Gestión de Corpamag, los avances en rendición de cuentas. </w:t>
            </w:r>
          </w:p>
        </w:tc>
        <w:tc>
          <w:tcPr>
            <w:tcW w:w="3044"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(2) Documentos Informe de Gestión de Corpamag 2021 </w:t>
            </w:r>
          </w:p>
        </w:tc>
        <w:tc>
          <w:tcPr>
            <w:tcW w:w="2339" w:type="dxa"/>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Oficina de Planeación</w:t>
            </w:r>
          </w:p>
        </w:tc>
        <w:tc>
          <w:tcPr>
            <w:tcW w:w="1397" w:type="dxa"/>
            <w:shd w:val="clear" w:color="auto" w:fill="auto"/>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31/07/2012 31/12/2021</w:t>
            </w:r>
          </w:p>
        </w:tc>
      </w:tr>
      <w:tr w:rsidR="000C2FAE" w:rsidRPr="000C2FAE" w:rsidTr="00EB3223">
        <w:trPr>
          <w:trHeight w:val="1286"/>
        </w:trPr>
        <w:tc>
          <w:tcPr>
            <w:tcW w:w="1969" w:type="dxa"/>
            <w:vMerge/>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4.3</w:t>
            </w:r>
          </w:p>
        </w:tc>
        <w:tc>
          <w:tcPr>
            <w:tcW w:w="4897" w:type="dxa"/>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Estandarizar   formatos  internos de reporte de  las actividades de rendición de cuentas que se realizarán en toda la entidad que como mínimo contenga: Actividades realizadas, grupos de valor involucrados, aportes, resultados, observaciones, propuestas y recomendaciones ciudadanas</w:t>
            </w:r>
          </w:p>
        </w:tc>
        <w:tc>
          <w:tcPr>
            <w:tcW w:w="3044" w:type="dxa"/>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Formatos de reporte </w:t>
            </w:r>
          </w:p>
        </w:tc>
        <w:tc>
          <w:tcPr>
            <w:tcW w:w="2339" w:type="dxa"/>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Oficina de Planeación</w:t>
            </w:r>
          </w:p>
        </w:tc>
        <w:tc>
          <w:tcPr>
            <w:tcW w:w="1397" w:type="dxa"/>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31/05/2021</w:t>
            </w:r>
          </w:p>
        </w:tc>
      </w:tr>
    </w:tbl>
    <w:p w:rsidR="000C2FAE" w:rsidRDefault="000C2FAE" w:rsidP="002A46B1">
      <w:pPr>
        <w:spacing w:after="200"/>
        <w:rPr>
          <w:sz w:val="36"/>
          <w:szCs w:val="32"/>
        </w:rPr>
      </w:pPr>
    </w:p>
    <w:p w:rsidR="00567FFA" w:rsidRDefault="00567FFA">
      <w:pPr>
        <w:spacing w:after="200"/>
        <w:rPr>
          <w:sz w:val="36"/>
          <w:szCs w:val="32"/>
        </w:rPr>
      </w:pPr>
      <w:r>
        <w:rPr>
          <w:sz w:val="36"/>
          <w:szCs w:val="32"/>
        </w:rPr>
        <w:br w:type="page"/>
      </w:r>
    </w:p>
    <w:p w:rsidR="00043A3F" w:rsidRPr="008D250C" w:rsidRDefault="00043A3F" w:rsidP="002A46B1">
      <w:pPr>
        <w:spacing w:after="200"/>
        <w:rPr>
          <w:sz w:val="36"/>
          <w:szCs w:val="32"/>
        </w:rPr>
      </w:pPr>
      <w:r w:rsidRPr="008D250C">
        <w:rPr>
          <w:sz w:val="36"/>
          <w:szCs w:val="32"/>
        </w:rPr>
        <w:lastRenderedPageBreak/>
        <w:t xml:space="preserve">3.4. Mecanismos para mejorar la Atención al Ciudadano </w:t>
      </w:r>
    </w:p>
    <w:p w:rsidR="00043A3F" w:rsidRDefault="00043A3F" w:rsidP="00043A3F">
      <w:pPr>
        <w:autoSpaceDE w:val="0"/>
        <w:autoSpaceDN w:val="0"/>
        <w:adjustRightInd w:val="0"/>
        <w:spacing w:line="240" w:lineRule="auto"/>
        <w:jc w:val="both"/>
        <w:rPr>
          <w:rFonts w:ascii="FuturaStd-Heavy" w:hAnsi="FuturaStd-Heavy" w:cs="FuturaStd-Heavy"/>
          <w:sz w:val="19"/>
          <w:szCs w:val="19"/>
        </w:rPr>
      </w:pPr>
    </w:p>
    <w:p w:rsidR="00043A3F" w:rsidRDefault="00043A3F" w:rsidP="000C2FAE">
      <w:pPr>
        <w:autoSpaceDE w:val="0"/>
        <w:autoSpaceDN w:val="0"/>
        <w:adjustRightInd w:val="0"/>
        <w:spacing w:line="240" w:lineRule="auto"/>
        <w:ind w:right="1223"/>
        <w:jc w:val="both"/>
        <w:rPr>
          <w:rFonts w:ascii="FuturaStd-Light" w:hAnsi="FuturaStd-Light" w:cs="FuturaStd-Light"/>
          <w:sz w:val="19"/>
          <w:szCs w:val="19"/>
        </w:rPr>
      </w:pPr>
      <w:r w:rsidRPr="009C7368">
        <w:rPr>
          <w:rFonts w:cstheme="minorHAnsi"/>
          <w:b w:val="0"/>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Pr>
          <w:rFonts w:ascii="FuturaStd-Light" w:hAnsi="FuturaStd-Light" w:cs="FuturaStd-Light"/>
          <w:sz w:val="19"/>
          <w:szCs w:val="19"/>
        </w:rPr>
        <w:t xml:space="preserve"> </w:t>
      </w:r>
    </w:p>
    <w:p w:rsidR="00567FFA" w:rsidRDefault="00567FFA" w:rsidP="000C2FAE">
      <w:pPr>
        <w:autoSpaceDE w:val="0"/>
        <w:autoSpaceDN w:val="0"/>
        <w:adjustRightInd w:val="0"/>
        <w:spacing w:line="240" w:lineRule="auto"/>
        <w:ind w:right="1223"/>
        <w:jc w:val="both"/>
        <w:rPr>
          <w:rFonts w:ascii="FuturaStd-Light" w:hAnsi="FuturaStd-Light" w:cs="FuturaStd-Light"/>
          <w:sz w:val="19"/>
          <w:szCs w:val="19"/>
        </w:rPr>
      </w:pPr>
    </w:p>
    <w:tbl>
      <w:tblPr>
        <w:tblW w:w="14483" w:type="dxa"/>
        <w:tblCellMar>
          <w:left w:w="70" w:type="dxa"/>
          <w:right w:w="70" w:type="dxa"/>
        </w:tblCellMar>
        <w:tblLook w:val="04A0" w:firstRow="1" w:lastRow="0" w:firstColumn="1" w:lastColumn="0" w:noHBand="0" w:noVBand="1"/>
      </w:tblPr>
      <w:tblGrid>
        <w:gridCol w:w="1871"/>
        <w:gridCol w:w="448"/>
        <w:gridCol w:w="5775"/>
        <w:gridCol w:w="3230"/>
        <w:gridCol w:w="1797"/>
        <w:gridCol w:w="1362"/>
      </w:tblGrid>
      <w:tr w:rsidR="00567FFA" w:rsidRPr="00567FFA" w:rsidTr="00567FFA">
        <w:trPr>
          <w:trHeight w:val="243"/>
        </w:trPr>
        <w:tc>
          <w:tcPr>
            <w:tcW w:w="14483" w:type="dxa"/>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Componente 4:  Atención  al Ciudadano</w:t>
            </w:r>
          </w:p>
        </w:tc>
      </w:tr>
      <w:tr w:rsidR="00567FFA" w:rsidRPr="00567FFA" w:rsidTr="00592BE6">
        <w:trPr>
          <w:trHeight w:val="498"/>
        </w:trPr>
        <w:tc>
          <w:tcPr>
            <w:tcW w:w="1871" w:type="dxa"/>
            <w:tcBorders>
              <w:top w:val="nil"/>
              <w:left w:val="single" w:sz="8" w:space="0" w:color="A6A6A6"/>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6223" w:type="dxa"/>
            <w:gridSpan w:val="2"/>
            <w:tcBorders>
              <w:top w:val="single" w:sz="8" w:space="0" w:color="A6A6A6"/>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3230"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1797"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362"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592BE6">
        <w:trPr>
          <w:trHeight w:val="1093"/>
        </w:trPr>
        <w:tc>
          <w:tcPr>
            <w:tcW w:w="1871" w:type="dxa"/>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1</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 xml:space="preserve">Estructura administrativa y Direccionamiento estratégico </w:t>
            </w:r>
          </w:p>
        </w:tc>
        <w:tc>
          <w:tcPr>
            <w:tcW w:w="448"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577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Revisar la estructura administrativa para institucionalización de una dependencia que lidere la mejora del servicio al ciudadano al interior de la entidad y que dependa de la Alta Dirección.</w:t>
            </w:r>
          </w:p>
        </w:tc>
        <w:tc>
          <w:tcPr>
            <w:tcW w:w="3230"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con el análisis y concusiones de la revisión realizada</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Secretaría general</w:t>
            </w:r>
            <w:r w:rsidRPr="00567FFA">
              <w:rPr>
                <w:rFonts w:eastAsia="Times New Roman" w:cstheme="minorHAnsi"/>
                <w:b w:val="0"/>
                <w:color w:val="000000"/>
                <w:sz w:val="24"/>
                <w:szCs w:val="24"/>
                <w:lang w:val="es-CO" w:eastAsia="es-CO"/>
              </w:rPr>
              <w:br/>
              <w:t>Dirección general</w:t>
            </w:r>
          </w:p>
        </w:tc>
        <w:tc>
          <w:tcPr>
            <w:tcW w:w="1362" w:type="dxa"/>
            <w:tcBorders>
              <w:top w:val="nil"/>
              <w:left w:val="nil"/>
              <w:bottom w:val="single" w:sz="8" w:space="0" w:color="A6A6A6"/>
              <w:right w:val="single" w:sz="8" w:space="0" w:color="A6A6A6"/>
            </w:tcBorders>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92BE6">
        <w:trPr>
          <w:trHeight w:val="437"/>
        </w:trPr>
        <w:tc>
          <w:tcPr>
            <w:tcW w:w="18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2</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Fortalecimiento de los canales de atención</w:t>
            </w:r>
          </w:p>
        </w:tc>
        <w:tc>
          <w:tcPr>
            <w:tcW w:w="4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57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Definir e implementar protocolos de atención al ciudadano</w:t>
            </w:r>
          </w:p>
        </w:tc>
        <w:tc>
          <w:tcPr>
            <w:tcW w:w="3230"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Protocolo de atención al ciudadano</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w:t>
            </w:r>
          </w:p>
        </w:tc>
        <w:tc>
          <w:tcPr>
            <w:tcW w:w="1362" w:type="dxa"/>
            <w:tcBorders>
              <w:top w:val="nil"/>
              <w:left w:val="nil"/>
              <w:bottom w:val="single" w:sz="8" w:space="0" w:color="A6A6A6"/>
              <w:right w:val="single" w:sz="8" w:space="0" w:color="A6A6A6"/>
            </w:tcBorders>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92BE6">
        <w:trPr>
          <w:trHeight w:val="826"/>
        </w:trPr>
        <w:tc>
          <w:tcPr>
            <w:tcW w:w="1871"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4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577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Implementar instrumentos y herramientas para garantizar la accesibilidad a las páginas web de las entidades</w:t>
            </w:r>
          </w:p>
        </w:tc>
        <w:tc>
          <w:tcPr>
            <w:tcW w:w="3230"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Disminuir los niveles de errores de accesibilidad  en la Página web corporativa a un 90%</w:t>
            </w:r>
          </w:p>
        </w:tc>
        <w:tc>
          <w:tcPr>
            <w:tcW w:w="1797"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Grupo TIC</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92BE6">
        <w:trPr>
          <w:trHeight w:val="571"/>
        </w:trPr>
        <w:tc>
          <w:tcPr>
            <w:tcW w:w="18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3</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Talento humano</w:t>
            </w:r>
          </w:p>
        </w:tc>
        <w:tc>
          <w:tcPr>
            <w:tcW w:w="448"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3.1</w:t>
            </w:r>
          </w:p>
        </w:tc>
        <w:tc>
          <w:tcPr>
            <w:tcW w:w="577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Fortalecer las competencias de los servidores públicos que atienden directamente a los ciudadanos a través de procesos de cualificación.</w:t>
            </w:r>
          </w:p>
        </w:tc>
        <w:tc>
          <w:tcPr>
            <w:tcW w:w="3230"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Capacitaciones - Registros de asistencias</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Gestión del Talento Humano</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92BE6">
        <w:trPr>
          <w:trHeight w:val="1555"/>
        </w:trPr>
        <w:tc>
          <w:tcPr>
            <w:tcW w:w="1871"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4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3.2</w:t>
            </w:r>
          </w:p>
        </w:tc>
        <w:tc>
          <w:tcPr>
            <w:tcW w:w="57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3230"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Plan Institucional de Capacitación con temáticas de mejoramiento del servicio al ciudadano</w:t>
            </w:r>
            <w:r w:rsidRPr="00567FFA">
              <w:rPr>
                <w:rFonts w:eastAsia="Times New Roman" w:cstheme="minorHAnsi"/>
                <w:b w:val="0"/>
                <w:color w:val="000000"/>
                <w:sz w:val="24"/>
                <w:szCs w:val="24"/>
                <w:lang w:val="es-CO" w:eastAsia="es-CO"/>
              </w:rPr>
              <w:br/>
              <w:t>Capacitaciones - Registros de asistencias</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Gestión del Talento Humano</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92BE6">
        <w:trPr>
          <w:trHeight w:val="644"/>
        </w:trPr>
        <w:tc>
          <w:tcPr>
            <w:tcW w:w="1871" w:type="dxa"/>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Subcomponente 4</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Normativo y procedimental</w:t>
            </w:r>
          </w:p>
        </w:tc>
        <w:tc>
          <w:tcPr>
            <w:tcW w:w="4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4.1</w:t>
            </w:r>
          </w:p>
        </w:tc>
        <w:tc>
          <w:tcPr>
            <w:tcW w:w="57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Cualificar el personal encargado de recibir las peticiones</w:t>
            </w:r>
          </w:p>
        </w:tc>
        <w:tc>
          <w:tcPr>
            <w:tcW w:w="3230"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Material de capacitaciones - Registros de asistencias</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Oficina de Planeació</w:t>
            </w:r>
            <w:r w:rsidRPr="00567FFA">
              <w:rPr>
                <w:rFonts w:eastAsia="Times New Roman" w:cstheme="minorHAnsi"/>
                <w:b w:val="0"/>
                <w:color w:val="000000"/>
                <w:sz w:val="24"/>
                <w:szCs w:val="24"/>
                <w:lang w:val="es-CO" w:eastAsia="es-CO"/>
              </w:rPr>
              <w:t>n /Oficina Jurídica</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92BE6">
        <w:trPr>
          <w:trHeight w:val="1105"/>
        </w:trPr>
        <w:tc>
          <w:tcPr>
            <w:tcW w:w="1871" w:type="dxa"/>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5</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Relacionamiento con el ciudadano</w:t>
            </w:r>
          </w:p>
        </w:tc>
        <w:tc>
          <w:tcPr>
            <w:tcW w:w="4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5.1</w:t>
            </w:r>
          </w:p>
        </w:tc>
        <w:tc>
          <w:tcPr>
            <w:tcW w:w="577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periódicamente mediciones de satisfacción de los ciudadanos respecto a la calidad y accesibilidad de la oferta institucional y el servicio recibido, e informar los resultados al nivel directivo con el fin de identificar oportunidades y acciones de mejora.</w:t>
            </w:r>
          </w:p>
        </w:tc>
        <w:tc>
          <w:tcPr>
            <w:tcW w:w="3230"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 de medición de satisfacción de los ciudadanos</w:t>
            </w:r>
          </w:p>
        </w:tc>
        <w:tc>
          <w:tcPr>
            <w:tcW w:w="179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bl>
    <w:p w:rsidR="00A11CD7" w:rsidRDefault="00A11CD7">
      <w:pPr>
        <w:spacing w:after="200"/>
        <w:rPr>
          <w:rFonts w:ascii="FuturaStd-Light" w:hAnsi="FuturaStd-Light" w:cs="FuturaStd-Light"/>
          <w:sz w:val="19"/>
          <w:szCs w:val="19"/>
        </w:rPr>
      </w:pPr>
      <w:r>
        <w:rPr>
          <w:rFonts w:ascii="FuturaStd-Light" w:hAnsi="FuturaStd-Light" w:cs="FuturaStd-Light"/>
          <w:sz w:val="19"/>
          <w:szCs w:val="19"/>
        </w:rPr>
        <w:br w:type="page"/>
      </w:r>
    </w:p>
    <w:p w:rsidR="004052A8" w:rsidRDefault="004052A8" w:rsidP="00043A3F">
      <w:pPr>
        <w:autoSpaceDE w:val="0"/>
        <w:autoSpaceDN w:val="0"/>
        <w:adjustRightInd w:val="0"/>
        <w:spacing w:line="240" w:lineRule="auto"/>
        <w:jc w:val="both"/>
        <w:rPr>
          <w:rFonts w:ascii="FuturaStd-Light" w:hAnsi="FuturaStd-Light" w:cs="FuturaStd-Light"/>
          <w:sz w:val="19"/>
          <w:szCs w:val="19"/>
        </w:rPr>
      </w:pPr>
    </w:p>
    <w:p w:rsidR="00043A3F" w:rsidRPr="008D250C" w:rsidRDefault="00043A3F" w:rsidP="0033059A">
      <w:pPr>
        <w:pStyle w:val="Ttulo"/>
        <w:rPr>
          <w:sz w:val="36"/>
          <w:szCs w:val="32"/>
        </w:rPr>
      </w:pPr>
      <w:r w:rsidRPr="008D250C">
        <w:rPr>
          <w:sz w:val="36"/>
          <w:szCs w:val="32"/>
        </w:rPr>
        <w:t xml:space="preserve">3.5. Mecanismos para la Transparencia y Acceso a la Información </w:t>
      </w:r>
    </w:p>
    <w:p w:rsidR="00043A3F" w:rsidRDefault="00043A3F" w:rsidP="00567FFA">
      <w:pPr>
        <w:autoSpaceDE w:val="0"/>
        <w:autoSpaceDN w:val="0"/>
        <w:adjustRightInd w:val="0"/>
        <w:spacing w:line="240" w:lineRule="auto"/>
        <w:ind w:right="1223"/>
        <w:jc w:val="both"/>
        <w:rPr>
          <w:rFonts w:ascii="FuturaStd-Light" w:hAnsi="FuturaStd-Light" w:cs="FuturaStd-Light"/>
          <w:sz w:val="17"/>
          <w:szCs w:val="19"/>
        </w:rPr>
      </w:pPr>
      <w:r w:rsidRPr="0033059A">
        <w:rPr>
          <w:rFonts w:cstheme="minorHAnsi"/>
          <w:b w:val="0"/>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66171E">
        <w:rPr>
          <w:rFonts w:ascii="FuturaStd-Light" w:hAnsi="FuturaStd-Light" w:cs="FuturaStd-Light"/>
          <w:sz w:val="17"/>
          <w:szCs w:val="19"/>
        </w:rPr>
        <w:t xml:space="preserve"> </w:t>
      </w:r>
    </w:p>
    <w:p w:rsidR="00567FFA" w:rsidRPr="0066171E" w:rsidRDefault="00567FFA" w:rsidP="00567FFA">
      <w:pPr>
        <w:autoSpaceDE w:val="0"/>
        <w:autoSpaceDN w:val="0"/>
        <w:adjustRightInd w:val="0"/>
        <w:spacing w:line="240" w:lineRule="auto"/>
        <w:ind w:right="1223"/>
        <w:jc w:val="both"/>
        <w:rPr>
          <w:rFonts w:ascii="FuturaStd-Light" w:hAnsi="FuturaStd-Light" w:cs="FuturaStd-Light"/>
          <w:sz w:val="17"/>
          <w:szCs w:val="19"/>
        </w:rPr>
      </w:pPr>
    </w:p>
    <w:tbl>
      <w:tblPr>
        <w:tblW w:w="1500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1776"/>
        <w:gridCol w:w="512"/>
        <w:gridCol w:w="3656"/>
        <w:gridCol w:w="2447"/>
        <w:gridCol w:w="3171"/>
        <w:gridCol w:w="2076"/>
        <w:gridCol w:w="1362"/>
      </w:tblGrid>
      <w:tr w:rsidR="00567FFA" w:rsidRPr="00567FFA" w:rsidTr="00EB3223">
        <w:trPr>
          <w:trHeight w:val="238"/>
        </w:trPr>
        <w:tc>
          <w:tcPr>
            <w:tcW w:w="15000" w:type="dxa"/>
            <w:gridSpan w:val="7"/>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Componente 5: Transparencia y Acceso a la Información</w:t>
            </w:r>
          </w:p>
        </w:tc>
      </w:tr>
      <w:tr w:rsidR="00567FFA" w:rsidRPr="00567FFA" w:rsidTr="00EB3223">
        <w:trPr>
          <w:trHeight w:val="489"/>
        </w:trPr>
        <w:tc>
          <w:tcPr>
            <w:tcW w:w="1776" w:type="dxa"/>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4168" w:type="dxa"/>
            <w:gridSpan w:val="2"/>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2447" w:type="dxa"/>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3171" w:type="dxa"/>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Indicadores</w:t>
            </w:r>
          </w:p>
        </w:tc>
        <w:tc>
          <w:tcPr>
            <w:tcW w:w="2076" w:type="dxa"/>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362" w:type="dxa"/>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EB3223">
        <w:trPr>
          <w:trHeight w:val="692"/>
        </w:trPr>
        <w:tc>
          <w:tcPr>
            <w:tcW w:w="1776" w:type="dxa"/>
            <w:vMerge w:val="restart"/>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1</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Lineamientos de Transparencia Activa</w:t>
            </w: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Gestionar las solicitudes de publicación y actualización en la página web corporativa.</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Atención del 100% de las solicitudes de  publicación y actualización en la página web </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 solicitudes atendidas de publicación y actualización en la página web / No. solicitudes recibidas de publicación y actualización en la página web</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EB3223">
        <w:trPr>
          <w:trHeight w:val="919"/>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1.2</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actualización de la información de interés establecida por la Ley 1712 de 2014 (Ley de Transparencia) en la Página web.</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Sección de Transparencia y Acceso a la Información Pública en la página web actualizada</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Numero de Ítems de Información Mínima (Ley Transparencia) / No. De Ítems actualizada </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Responsables de la Información asignados en el Esquema de Publicación de Corpamag</w:t>
            </w:r>
          </w:p>
        </w:tc>
        <w:tc>
          <w:tcPr>
            <w:tcW w:w="1362" w:type="dxa"/>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31/03/2021</w:t>
            </w:r>
            <w:r w:rsidRPr="00567FFA">
              <w:rPr>
                <w:rFonts w:eastAsia="Times New Roman" w:cstheme="minorHAnsi"/>
                <w:b w:val="0"/>
                <w:color w:val="000000"/>
                <w:sz w:val="24"/>
                <w:szCs w:val="24"/>
                <w:lang w:val="es-CO" w:eastAsia="es-CO"/>
              </w:rPr>
              <w:br/>
              <w:t>30/07/2021</w:t>
            </w:r>
            <w:r w:rsidRPr="00567FFA">
              <w:rPr>
                <w:rFonts w:eastAsia="Times New Roman" w:cstheme="minorHAnsi"/>
                <w:b w:val="0"/>
                <w:color w:val="000000"/>
                <w:sz w:val="24"/>
                <w:szCs w:val="24"/>
                <w:lang w:val="es-CO" w:eastAsia="es-CO"/>
              </w:rPr>
              <w:br/>
              <w:t>30/09/2021</w:t>
            </w:r>
            <w:r w:rsidRPr="00567FFA">
              <w:rPr>
                <w:rFonts w:eastAsia="Times New Roman" w:cstheme="minorHAnsi"/>
                <w:b w:val="0"/>
                <w:color w:val="000000"/>
                <w:sz w:val="24"/>
                <w:szCs w:val="24"/>
                <w:lang w:val="es-CO" w:eastAsia="es-CO"/>
              </w:rPr>
              <w:br/>
              <w:t>31/12/2021</w:t>
            </w:r>
          </w:p>
        </w:tc>
      </w:tr>
      <w:tr w:rsidR="00567FFA" w:rsidRPr="00567FFA" w:rsidTr="00EB3223">
        <w:trPr>
          <w:trHeight w:val="644"/>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1.3</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Promover divulgación de datos abiertos</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Cumplimiento del 100% de las actividades programadas de divulgación de datos abiertos</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No. Actividades de divulgación realizadas/No. Actividades de divulgación programadas </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01/05/2021 a 31/12/2021</w:t>
            </w:r>
          </w:p>
        </w:tc>
      </w:tr>
      <w:tr w:rsidR="00567FFA" w:rsidRPr="00567FFA" w:rsidTr="00EB3223">
        <w:trPr>
          <w:trHeight w:val="465"/>
        </w:trPr>
        <w:tc>
          <w:tcPr>
            <w:tcW w:w="1776" w:type="dxa"/>
            <w:vMerge w:val="restart"/>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Subcomponente 2</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Lineamientos de Transparencia Pasiva</w:t>
            </w: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el sistema de PQRSD web para la habilitación del seguimiento de las solicitudes</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Plan de adecuación el Sistema de PQRSD de la Corporación</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de cumplimiento del Plan de adecuación el Sistema de PQRSD de la Corporación</w:t>
            </w:r>
          </w:p>
        </w:tc>
        <w:tc>
          <w:tcPr>
            <w:tcW w:w="207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30/11/2021</w:t>
            </w:r>
          </w:p>
        </w:tc>
      </w:tr>
      <w:tr w:rsidR="00567FFA" w:rsidRPr="00567FFA" w:rsidTr="00EB3223">
        <w:trPr>
          <w:trHeight w:val="465"/>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Revisión los estándares del contenido y oportunidad de las respuestas a las solicitudes de acceso a información pública</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Informes de adecuación de las respuestas a las solicitudes</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de adecuación de las respuestas a la petición</w:t>
            </w:r>
          </w:p>
        </w:tc>
        <w:tc>
          <w:tcPr>
            <w:tcW w:w="207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15/07/2021</w:t>
            </w:r>
            <w:r w:rsidRPr="00567FFA">
              <w:rPr>
                <w:rFonts w:eastAsia="Times New Roman" w:cstheme="minorHAnsi"/>
                <w:b w:val="0"/>
                <w:color w:val="000000"/>
                <w:sz w:val="24"/>
                <w:szCs w:val="24"/>
                <w:lang w:val="es-CO" w:eastAsia="es-CO"/>
              </w:rPr>
              <w:br/>
              <w:t>31/12/2021</w:t>
            </w:r>
          </w:p>
        </w:tc>
      </w:tr>
      <w:tr w:rsidR="00567FFA" w:rsidRPr="00567FFA" w:rsidTr="00EB3223">
        <w:trPr>
          <w:trHeight w:val="465"/>
        </w:trPr>
        <w:tc>
          <w:tcPr>
            <w:tcW w:w="1776" w:type="dxa"/>
            <w:vMerge w:val="restart"/>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3</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Elaboración los Instrumentos de Gestión de la Información</w:t>
            </w: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3.1</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Actualizar y socializar el Registro de Activos de Información </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Actualización, publicación y divulgación  del Registro de Activos de Información </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Secretaria General - Grupo de Gestión Documental</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EB3223">
        <w:trPr>
          <w:trHeight w:val="692"/>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3.2</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y socializar el Índice de Información Clasificada y Reservada</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Actualización, publicación y divulgación de la actualización del Índice de Información Clasificada y Reservada</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Secretaria General - Grupo de Gestión Documental</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EB3223">
        <w:trPr>
          <w:trHeight w:val="465"/>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3.3</w:t>
            </w:r>
          </w:p>
        </w:tc>
        <w:tc>
          <w:tcPr>
            <w:tcW w:w="365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y socializar el Esquema de Publicación de Información</w:t>
            </w:r>
          </w:p>
        </w:tc>
        <w:tc>
          <w:tcPr>
            <w:tcW w:w="2447"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Actualización, publicación y divulgación del Esquema de Publicación de Información</w:t>
            </w:r>
          </w:p>
        </w:tc>
        <w:tc>
          <w:tcPr>
            <w:tcW w:w="3171"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EB3223">
        <w:trPr>
          <w:trHeight w:val="656"/>
        </w:trPr>
        <w:tc>
          <w:tcPr>
            <w:tcW w:w="1776" w:type="dxa"/>
            <w:vMerge w:val="restart"/>
            <w:shd w:val="clear" w:color="D0CECE" w:fill="D9E1F2"/>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Cs/>
                <w:color w:val="000000"/>
                <w:sz w:val="24"/>
                <w:szCs w:val="24"/>
                <w:lang w:val="es-CO" w:eastAsia="es-CO"/>
              </w:rPr>
              <w:lastRenderedPageBreak/>
              <w:t>Subcomponente 4</w:t>
            </w:r>
            <w:r w:rsidRPr="00567FFA">
              <w:rPr>
                <w:rFonts w:eastAsia="Times New Roman" w:cstheme="minorHAnsi"/>
                <w:b w:val="0"/>
                <w:color w:val="000000"/>
                <w:sz w:val="24"/>
                <w:szCs w:val="24"/>
                <w:lang w:val="es-CO" w:eastAsia="es-CO"/>
              </w:rPr>
              <w:br/>
              <w:t>Criterio diferencial de accesibilidad</w:t>
            </w: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4.1</w:t>
            </w:r>
          </w:p>
        </w:tc>
        <w:tc>
          <w:tcPr>
            <w:tcW w:w="365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Implementar texto alternativo para las emisiones radiales en la página web</w:t>
            </w:r>
          </w:p>
        </w:tc>
        <w:tc>
          <w:tcPr>
            <w:tcW w:w="2447"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Publicación de texto alternativo en las emisiones radiales 2021 en la página web</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Emisiones radiales publicadas en el portal web</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r w:rsidRPr="00567FFA">
              <w:rPr>
                <w:rFonts w:eastAsia="Times New Roman" w:cstheme="minorHAnsi"/>
                <w:b w:val="0"/>
                <w:color w:val="000000"/>
                <w:sz w:val="24"/>
                <w:szCs w:val="24"/>
                <w:lang w:val="es-CO" w:eastAsia="es-CO"/>
              </w:rPr>
              <w:br/>
              <w:t>Dirección general -comunicaciones</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EB3223">
        <w:trPr>
          <w:trHeight w:val="692"/>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4.2. </w:t>
            </w:r>
          </w:p>
        </w:tc>
        <w:tc>
          <w:tcPr>
            <w:tcW w:w="365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Emitir una circular interna con los lineamientos de accesibilidad  requeridos en los documentos electrónicos que se producen en Corpamag</w:t>
            </w:r>
          </w:p>
        </w:tc>
        <w:tc>
          <w:tcPr>
            <w:tcW w:w="2447"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Circular Interna</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 documento circular emitida</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 - Sistema de Gestión ; Contratación</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15/02/2021</w:t>
            </w:r>
          </w:p>
        </w:tc>
      </w:tr>
      <w:tr w:rsidR="00567FFA" w:rsidRPr="00567FFA" w:rsidTr="00EB3223">
        <w:trPr>
          <w:trHeight w:val="692"/>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4.3. </w:t>
            </w:r>
          </w:p>
        </w:tc>
        <w:tc>
          <w:tcPr>
            <w:tcW w:w="365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Socializar a funcionarios y contratistas los lineamientos de accesibilidad  requeridos en los documentos electrónicos que se producen en Corpamag</w:t>
            </w:r>
          </w:p>
        </w:tc>
        <w:tc>
          <w:tcPr>
            <w:tcW w:w="2447"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 Guía socializada</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 De funcionarios/contratistas socializados</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Oficina de  Planeación - Gestión TIC </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28/02/2021</w:t>
            </w:r>
          </w:p>
        </w:tc>
      </w:tr>
      <w:tr w:rsidR="00567FFA" w:rsidRPr="00567FFA" w:rsidTr="00EB3223">
        <w:trPr>
          <w:trHeight w:val="465"/>
        </w:trPr>
        <w:tc>
          <w:tcPr>
            <w:tcW w:w="1776" w:type="dxa"/>
            <w:vMerge/>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4.4. </w:t>
            </w:r>
          </w:p>
        </w:tc>
        <w:tc>
          <w:tcPr>
            <w:tcW w:w="365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actualización de la página web de Corpamag en cumplimiento del nivel AA de accesibilidad</w:t>
            </w:r>
          </w:p>
        </w:tc>
        <w:tc>
          <w:tcPr>
            <w:tcW w:w="2447"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Página web accesible a nivel AA</w:t>
            </w:r>
          </w:p>
        </w:tc>
        <w:tc>
          <w:tcPr>
            <w:tcW w:w="3171"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Nivel AA de Accesibilidad</w:t>
            </w:r>
          </w:p>
        </w:tc>
        <w:tc>
          <w:tcPr>
            <w:tcW w:w="2076" w:type="dxa"/>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Oficina de  Planeación - Gestión TIC </w:t>
            </w:r>
          </w:p>
        </w:tc>
        <w:tc>
          <w:tcPr>
            <w:tcW w:w="1362" w:type="dxa"/>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EB3223">
        <w:trPr>
          <w:trHeight w:val="1146"/>
        </w:trPr>
        <w:tc>
          <w:tcPr>
            <w:tcW w:w="1776" w:type="dxa"/>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5</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Monitoreo del Acceso a la Información Pública</w:t>
            </w:r>
          </w:p>
        </w:tc>
        <w:tc>
          <w:tcPr>
            <w:tcW w:w="512" w:type="dxa"/>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5.1</w:t>
            </w:r>
          </w:p>
        </w:tc>
        <w:tc>
          <w:tcPr>
            <w:tcW w:w="3656" w:type="dxa"/>
            <w:shd w:val="clear" w:color="auto" w:fill="auto"/>
            <w:vAlign w:val="center"/>
            <w:hideMark/>
          </w:tcPr>
          <w:p w:rsidR="00567FFA" w:rsidRPr="00567FFA" w:rsidRDefault="00687C01" w:rsidP="00567FFA">
            <w:pPr>
              <w:spacing w:line="240" w:lineRule="auto"/>
              <w:rPr>
                <w:rFonts w:eastAsia="Times New Roman" w:cstheme="minorHAnsi"/>
                <w:b w:val="0"/>
                <w:color w:val="000000"/>
                <w:sz w:val="24"/>
                <w:szCs w:val="24"/>
                <w:lang w:val="es-CO" w:eastAsia="es-CO"/>
              </w:rPr>
            </w:pPr>
            <w:r w:rsidRPr="00687C01">
              <w:rPr>
                <w:rFonts w:eastAsia="Times New Roman" w:cstheme="minorHAnsi"/>
                <w:b w:val="0"/>
                <w:color w:val="000000"/>
                <w:sz w:val="24"/>
                <w:szCs w:val="24"/>
                <w:lang w:val="es-CO" w:eastAsia="es-CO"/>
              </w:rPr>
              <w:t xml:space="preserve">Elaborar y publicar informes trimestrales de solicitudes de acceso a información, quejas y reclamos que incluya (No. solicitudes recibidas, No. solicitudes trasladadas a otra institución, tiempo de respuesta de cada solicitud, No. de solicitudes en las </w:t>
            </w:r>
            <w:r w:rsidRPr="00687C01">
              <w:rPr>
                <w:rFonts w:eastAsia="Times New Roman" w:cstheme="minorHAnsi"/>
                <w:b w:val="0"/>
                <w:color w:val="000000"/>
                <w:sz w:val="24"/>
                <w:szCs w:val="24"/>
                <w:lang w:val="es-CO" w:eastAsia="es-CO"/>
              </w:rPr>
              <w:lastRenderedPageBreak/>
              <w:t>que se negó el acceso a la información)</w:t>
            </w:r>
          </w:p>
        </w:tc>
        <w:tc>
          <w:tcPr>
            <w:tcW w:w="2447" w:type="dxa"/>
            <w:shd w:val="clear" w:color="auto" w:fill="auto"/>
            <w:vAlign w:val="center"/>
            <w:hideMark/>
          </w:tcPr>
          <w:p w:rsidR="00567FFA" w:rsidRPr="00567FFA" w:rsidRDefault="00687C01" w:rsidP="00567FFA">
            <w:pPr>
              <w:spacing w:line="240" w:lineRule="auto"/>
              <w:rPr>
                <w:rFonts w:eastAsia="Times New Roman" w:cstheme="minorHAnsi"/>
                <w:b w:val="0"/>
                <w:color w:val="000000"/>
                <w:sz w:val="24"/>
                <w:szCs w:val="24"/>
                <w:lang w:val="es-CO" w:eastAsia="es-CO"/>
              </w:rPr>
            </w:pPr>
            <w:r w:rsidRPr="00687C01">
              <w:rPr>
                <w:rFonts w:eastAsia="Times New Roman" w:cstheme="minorHAnsi"/>
                <w:b w:val="0"/>
                <w:color w:val="000000"/>
                <w:sz w:val="24"/>
                <w:szCs w:val="24"/>
                <w:lang w:val="es-CO" w:eastAsia="es-CO"/>
              </w:rPr>
              <w:lastRenderedPageBreak/>
              <w:t>Informes trimestrales de solicitudes de acceso a  información, quejas y reclamos.</w:t>
            </w:r>
          </w:p>
        </w:tc>
        <w:tc>
          <w:tcPr>
            <w:tcW w:w="3171" w:type="dxa"/>
            <w:shd w:val="clear" w:color="auto" w:fill="auto"/>
            <w:vAlign w:val="center"/>
            <w:hideMark/>
          </w:tcPr>
          <w:p w:rsidR="00567FFA" w:rsidRPr="00567FFA" w:rsidRDefault="00EB3223" w:rsidP="00567FFA">
            <w:pPr>
              <w:spacing w:line="240" w:lineRule="auto"/>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Informes trimestrales elaborados y publicados en el portal Web</w:t>
            </w:r>
          </w:p>
        </w:tc>
        <w:tc>
          <w:tcPr>
            <w:tcW w:w="2076" w:type="dxa"/>
            <w:shd w:val="clear" w:color="auto" w:fill="auto"/>
            <w:vAlign w:val="center"/>
            <w:hideMark/>
          </w:tcPr>
          <w:p w:rsidR="00567FFA" w:rsidRPr="00567FFA" w:rsidRDefault="00EB3223" w:rsidP="00567FFA">
            <w:pPr>
              <w:spacing w:line="240" w:lineRule="auto"/>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Gestión Jurídica</w:t>
            </w:r>
          </w:p>
        </w:tc>
        <w:tc>
          <w:tcPr>
            <w:tcW w:w="1362" w:type="dxa"/>
            <w:shd w:val="clear" w:color="auto" w:fill="auto"/>
            <w:noWrap/>
            <w:vAlign w:val="center"/>
            <w:hideMark/>
          </w:tcPr>
          <w:p w:rsidR="00EB3223" w:rsidRPr="00EB3223" w:rsidRDefault="00EB3223" w:rsidP="00EB3223">
            <w:pPr>
              <w:spacing w:line="240" w:lineRule="auto"/>
              <w:jc w:val="center"/>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31/03/2021</w:t>
            </w:r>
          </w:p>
          <w:p w:rsidR="00EB3223" w:rsidRPr="00EB3223" w:rsidRDefault="00EB3223" w:rsidP="00EB3223">
            <w:pPr>
              <w:spacing w:line="240" w:lineRule="auto"/>
              <w:jc w:val="center"/>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30/06/2021</w:t>
            </w:r>
          </w:p>
          <w:p w:rsidR="00EB3223" w:rsidRPr="00EB3223" w:rsidRDefault="00EB3223" w:rsidP="00EB3223">
            <w:pPr>
              <w:spacing w:line="240" w:lineRule="auto"/>
              <w:jc w:val="center"/>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30/09/2021</w:t>
            </w:r>
          </w:p>
          <w:p w:rsidR="00567FFA" w:rsidRPr="00567FFA" w:rsidRDefault="00EB3223" w:rsidP="00EB3223">
            <w:pPr>
              <w:spacing w:line="240" w:lineRule="auto"/>
              <w:jc w:val="center"/>
              <w:rPr>
                <w:rFonts w:eastAsia="Times New Roman" w:cstheme="minorHAnsi"/>
                <w:b w:val="0"/>
                <w:color w:val="000000"/>
                <w:sz w:val="24"/>
                <w:szCs w:val="24"/>
                <w:lang w:val="es-CO" w:eastAsia="es-CO"/>
              </w:rPr>
            </w:pPr>
            <w:r w:rsidRPr="00EB3223">
              <w:rPr>
                <w:rFonts w:eastAsia="Times New Roman" w:cstheme="minorHAnsi"/>
                <w:b w:val="0"/>
                <w:color w:val="000000"/>
                <w:sz w:val="24"/>
                <w:szCs w:val="24"/>
                <w:lang w:val="es-CO" w:eastAsia="es-CO"/>
              </w:rPr>
              <w:t>31/12/2021</w:t>
            </w:r>
          </w:p>
        </w:tc>
      </w:tr>
    </w:tbl>
    <w:p w:rsidR="00043A3F" w:rsidRPr="002A46B1" w:rsidRDefault="00C96EB9" w:rsidP="00567FFA">
      <w:pPr>
        <w:spacing w:after="200"/>
        <w:rPr>
          <w:sz w:val="36"/>
          <w:szCs w:val="32"/>
        </w:rPr>
      </w:pPr>
      <w:r>
        <w:rPr>
          <w:sz w:val="32"/>
          <w:szCs w:val="32"/>
        </w:rPr>
        <w:lastRenderedPageBreak/>
        <w:br w:type="page"/>
      </w:r>
      <w:r w:rsidR="00043A3F" w:rsidRPr="002A46B1">
        <w:rPr>
          <w:sz w:val="36"/>
          <w:szCs w:val="32"/>
        </w:rPr>
        <w:lastRenderedPageBreak/>
        <w:t xml:space="preserve">3.6. Iniciativas Adicionales </w:t>
      </w:r>
    </w:p>
    <w:p w:rsidR="00043A3F" w:rsidRPr="004052A8" w:rsidRDefault="00043A3F" w:rsidP="00043A3F">
      <w:pPr>
        <w:autoSpaceDE w:val="0"/>
        <w:autoSpaceDN w:val="0"/>
        <w:adjustRightInd w:val="0"/>
        <w:spacing w:line="240" w:lineRule="auto"/>
        <w:jc w:val="both"/>
        <w:rPr>
          <w:rFonts w:cstheme="minorHAnsi"/>
          <w:b w:val="0"/>
          <w:szCs w:val="28"/>
        </w:rPr>
      </w:pPr>
    </w:p>
    <w:p w:rsidR="00043A3F" w:rsidRDefault="00043A3F" w:rsidP="00567FFA">
      <w:pPr>
        <w:autoSpaceDE w:val="0"/>
        <w:autoSpaceDN w:val="0"/>
        <w:adjustRightInd w:val="0"/>
        <w:spacing w:line="240" w:lineRule="auto"/>
        <w:ind w:right="1081"/>
        <w:jc w:val="both"/>
        <w:rPr>
          <w:rFonts w:ascii="FuturaStd-Light" w:hAnsi="FuturaStd-Light" w:cs="FuturaStd-Light"/>
          <w:sz w:val="19"/>
          <w:szCs w:val="19"/>
        </w:rPr>
      </w:pPr>
      <w:r w:rsidRPr="004052A8">
        <w:rPr>
          <w:rFonts w:cstheme="minorHAnsi"/>
          <w:b w:val="0"/>
          <w:szCs w:val="28"/>
        </w:rPr>
        <w:t xml:space="preserve">Se refiere a las iniciativas particulares de la entidad que contribuyen a combatir y prevenir la corrupción. Se sugiere el Código de Integridad: Promoción de </w:t>
      </w:r>
      <w:r w:rsidRPr="004052A8">
        <w:rPr>
          <w:rFonts w:cstheme="minorHAnsi"/>
          <w:b w:val="0"/>
          <w:i/>
          <w:iCs/>
          <w:szCs w:val="28"/>
        </w:rPr>
        <w:t xml:space="preserve">“Acuerdos, compromisos y protocolos éticos,” </w:t>
      </w:r>
      <w:r w:rsidRPr="004052A8">
        <w:rPr>
          <w:rFonts w:cstheme="minorHAnsi"/>
          <w:b w:val="0"/>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F36D5C">
        <w:rPr>
          <w:rFonts w:ascii="FuturaStd-Light" w:hAnsi="FuturaStd-Light" w:cs="FuturaStd-Light"/>
          <w:sz w:val="19"/>
          <w:szCs w:val="19"/>
        </w:rPr>
        <w:t xml:space="preserve"> </w:t>
      </w:r>
    </w:p>
    <w:p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14100" w:type="dxa"/>
        <w:tblCellMar>
          <w:left w:w="70" w:type="dxa"/>
          <w:right w:w="70" w:type="dxa"/>
        </w:tblCellMar>
        <w:tblLook w:val="04A0" w:firstRow="1" w:lastRow="0" w:firstColumn="1" w:lastColumn="0" w:noHBand="0" w:noVBand="1"/>
      </w:tblPr>
      <w:tblGrid>
        <w:gridCol w:w="1973"/>
        <w:gridCol w:w="465"/>
        <w:gridCol w:w="4180"/>
        <w:gridCol w:w="3275"/>
        <w:gridCol w:w="2658"/>
        <w:gridCol w:w="1549"/>
      </w:tblGrid>
      <w:tr w:rsidR="00567FFA" w:rsidRPr="00567FFA" w:rsidTr="00567FFA">
        <w:trPr>
          <w:trHeight w:val="198"/>
        </w:trPr>
        <w:tc>
          <w:tcPr>
            <w:tcW w:w="14100" w:type="dxa"/>
            <w:gridSpan w:val="6"/>
            <w:tcBorders>
              <w:top w:val="single" w:sz="8" w:space="0" w:color="A6A6A6"/>
              <w:left w:val="single" w:sz="8" w:space="0" w:color="A6A6A6"/>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Componente 6: Iniciativas Adicionales</w:t>
            </w:r>
          </w:p>
        </w:tc>
      </w:tr>
      <w:tr w:rsidR="00567FFA" w:rsidRPr="00567FFA" w:rsidTr="00567FFA">
        <w:trPr>
          <w:trHeight w:val="397"/>
        </w:trPr>
        <w:tc>
          <w:tcPr>
            <w:tcW w:w="1973" w:type="dxa"/>
            <w:tcBorders>
              <w:top w:val="single" w:sz="8" w:space="0" w:color="A6A6A6"/>
              <w:left w:val="single" w:sz="8" w:space="0" w:color="A6A6A6"/>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4645" w:type="dxa"/>
            <w:gridSpan w:val="2"/>
            <w:tcBorders>
              <w:top w:val="single" w:sz="8" w:space="0" w:color="A6A6A6"/>
              <w:left w:val="nil"/>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3275" w:type="dxa"/>
            <w:tcBorders>
              <w:top w:val="single" w:sz="8" w:space="0" w:color="A6A6A6"/>
              <w:left w:val="nil"/>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2658" w:type="dxa"/>
            <w:tcBorders>
              <w:top w:val="single" w:sz="8" w:space="0" w:color="A6A6A6"/>
              <w:left w:val="nil"/>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548" w:type="dxa"/>
            <w:tcBorders>
              <w:top w:val="single" w:sz="8" w:space="0" w:color="A6A6A6"/>
              <w:left w:val="nil"/>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567FFA">
        <w:trPr>
          <w:trHeight w:val="843"/>
        </w:trPr>
        <w:tc>
          <w:tcPr>
            <w:tcW w:w="1973"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Iniciativas adicionales / Código de Integridad</w:t>
            </w: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Adoptar el Código de Integridad adicionando principios de acción (“lo que hago” “lo que no hago”) a los cinco valores establecidos en el Código e incluir hasta dos valores adicionales.</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Documento Código de Integridad adoptado mediante acto administrativo publicado en la página web.</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 xml:space="preserve">Gestión del Talento Humano - Secretaria General </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843"/>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1.2</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Elaborar el plan de trabajo para la implementación del Código, con el propósito de sensibilizar e interiorizar  en la entidad, el código de integridad.</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Plan de trabajo de implementación del código de integridad</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645"/>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1.3</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Ejecutar y hacer seguimiento al plan de trabajo, para garantizar su cumplimiento por parte de los servidores en el ejercicio de las funciones.</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 de implementación del Código de integridad durante el año.</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r w:rsidR="00567FFA" w:rsidRPr="00567FFA" w:rsidTr="00567FFA">
        <w:trPr>
          <w:trHeight w:val="645"/>
        </w:trPr>
        <w:tc>
          <w:tcPr>
            <w:tcW w:w="1973"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Iniciativas adicionales /Conflicto de intereses</w:t>
            </w: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Diligenciar el autodiagnóstico para la gestión de conflicto de intereses propuesto por el DAFP</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Autodiagnóstico diligenciado</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645"/>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Desarrollar la estrategia de gestión de conflictos de intereses de la Corporación.</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Estrategia para la gestión de conflictos de intereses implementada</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r w:rsidR="00567FFA" w:rsidRPr="00567FFA" w:rsidTr="00567FFA">
        <w:trPr>
          <w:trHeight w:val="1191"/>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2.3</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Realizar publicación, divulgación y soporte de la declaración de bienes y rentas, del registro de conflictos de interés y la declaración del impuesto sobre la renta y complementarios, los cuales  serán aplicables a las  personas en calidad de sujetos obligados por la ley 2013 de 2019</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Documento/información registrada en el aplicativo de la página web de Función pública. </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bl>
    <w:p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sectPr w:rsidR="00567FFA" w:rsidSect="00B126DA">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8B" w:rsidRDefault="007C458B">
      <w:r>
        <w:separator/>
      </w:r>
    </w:p>
    <w:p w:rsidR="007C458B" w:rsidRDefault="007C458B"/>
  </w:endnote>
  <w:endnote w:type="continuationSeparator" w:id="0">
    <w:p w:rsidR="007C458B" w:rsidRDefault="007C458B">
      <w:r>
        <w:continuationSeparator/>
      </w:r>
    </w:p>
    <w:p w:rsidR="007C458B" w:rsidRDefault="007C4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Content>
      <w:p w:rsidR="005055CA" w:rsidRDefault="005055CA">
        <w:pPr>
          <w:pStyle w:val="Piedepgina"/>
          <w:jc w:val="center"/>
          <w:rPr>
            <w:noProof/>
          </w:rPr>
        </w:pPr>
        <w:r>
          <w:rPr>
            <w:noProof/>
            <w:lang w:val="es-CO" w:eastAsia="es-CO"/>
          </w:rPr>
          <w:drawing>
            <wp:inline distT="0" distB="0" distL="0" distR="0">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rsidR="005055CA" w:rsidRDefault="005055CA">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8B" w:rsidRDefault="007C458B">
      <w:r>
        <w:separator/>
      </w:r>
    </w:p>
    <w:p w:rsidR="007C458B" w:rsidRDefault="007C458B"/>
  </w:footnote>
  <w:footnote w:type="continuationSeparator" w:id="0">
    <w:p w:rsidR="007C458B" w:rsidRDefault="007C458B">
      <w:r>
        <w:continuationSeparator/>
      </w:r>
    </w:p>
    <w:p w:rsidR="007C458B" w:rsidRDefault="007C45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CA" w:rsidRDefault="005055CA"/>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5055CA" w:rsidTr="00B126DA">
      <w:trPr>
        <w:trHeight w:val="1061"/>
      </w:trPr>
      <w:tc>
        <w:tcPr>
          <w:tcW w:w="14120" w:type="dxa"/>
          <w:tcBorders>
            <w:top w:val="nil"/>
            <w:left w:val="nil"/>
            <w:bottom w:val="single" w:sz="36" w:space="0" w:color="34ABA2" w:themeColor="accent3"/>
            <w:right w:val="nil"/>
          </w:tcBorders>
        </w:tcPr>
        <w:p w:rsidR="005055CA" w:rsidRDefault="005055CA">
          <w:pPr>
            <w:pStyle w:val="Encabezado"/>
            <w:rPr>
              <w:noProof/>
            </w:rPr>
          </w:pPr>
        </w:p>
      </w:tc>
    </w:tr>
  </w:tbl>
  <w:p w:rsidR="005055CA" w:rsidRDefault="005055CA"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E63C9"/>
    <w:rsid w:val="00113713"/>
    <w:rsid w:val="00130E9D"/>
    <w:rsid w:val="00150A6D"/>
    <w:rsid w:val="00163E69"/>
    <w:rsid w:val="00185B35"/>
    <w:rsid w:val="001F2BC8"/>
    <w:rsid w:val="001F5F6B"/>
    <w:rsid w:val="00243EBC"/>
    <w:rsid w:val="00246A35"/>
    <w:rsid w:val="00284348"/>
    <w:rsid w:val="002A46B1"/>
    <w:rsid w:val="002D3A37"/>
    <w:rsid w:val="002F51F5"/>
    <w:rsid w:val="00310BED"/>
    <w:rsid w:val="00312137"/>
    <w:rsid w:val="00316E49"/>
    <w:rsid w:val="00330359"/>
    <w:rsid w:val="0033059A"/>
    <w:rsid w:val="0033762F"/>
    <w:rsid w:val="00360494"/>
    <w:rsid w:val="00366C7E"/>
    <w:rsid w:val="00384EA3"/>
    <w:rsid w:val="003A39A1"/>
    <w:rsid w:val="003C2191"/>
    <w:rsid w:val="003D3863"/>
    <w:rsid w:val="004052A8"/>
    <w:rsid w:val="004110DE"/>
    <w:rsid w:val="004162B8"/>
    <w:rsid w:val="00433238"/>
    <w:rsid w:val="0044085A"/>
    <w:rsid w:val="004B21A5"/>
    <w:rsid w:val="004D20EB"/>
    <w:rsid w:val="004E5FEE"/>
    <w:rsid w:val="005037F0"/>
    <w:rsid w:val="005055CA"/>
    <w:rsid w:val="00516A86"/>
    <w:rsid w:val="005275F6"/>
    <w:rsid w:val="00557B0F"/>
    <w:rsid w:val="00567FFA"/>
    <w:rsid w:val="00572102"/>
    <w:rsid w:val="00592BE6"/>
    <w:rsid w:val="005E12E9"/>
    <w:rsid w:val="005E29F9"/>
    <w:rsid w:val="005F1BB0"/>
    <w:rsid w:val="00613CE8"/>
    <w:rsid w:val="00613EFB"/>
    <w:rsid w:val="00656552"/>
    <w:rsid w:val="00656C4D"/>
    <w:rsid w:val="0066171E"/>
    <w:rsid w:val="00672E30"/>
    <w:rsid w:val="00687C01"/>
    <w:rsid w:val="006E5716"/>
    <w:rsid w:val="00726E68"/>
    <w:rsid w:val="007302B3"/>
    <w:rsid w:val="00730733"/>
    <w:rsid w:val="007309A6"/>
    <w:rsid w:val="00730E3A"/>
    <w:rsid w:val="00736AAF"/>
    <w:rsid w:val="00746889"/>
    <w:rsid w:val="00765B2A"/>
    <w:rsid w:val="00783A34"/>
    <w:rsid w:val="007C458B"/>
    <w:rsid w:val="007C6B52"/>
    <w:rsid w:val="007D16C5"/>
    <w:rsid w:val="00862FE4"/>
    <w:rsid w:val="0086389A"/>
    <w:rsid w:val="0087605E"/>
    <w:rsid w:val="00881951"/>
    <w:rsid w:val="008941AE"/>
    <w:rsid w:val="00897068"/>
    <w:rsid w:val="008A1772"/>
    <w:rsid w:val="008B1FEE"/>
    <w:rsid w:val="008C777D"/>
    <w:rsid w:val="008D250C"/>
    <w:rsid w:val="00903C32"/>
    <w:rsid w:val="00910CD2"/>
    <w:rsid w:val="00916B16"/>
    <w:rsid w:val="009173B9"/>
    <w:rsid w:val="0093335D"/>
    <w:rsid w:val="00934990"/>
    <w:rsid w:val="0093613E"/>
    <w:rsid w:val="00940BC4"/>
    <w:rsid w:val="00943026"/>
    <w:rsid w:val="00966B81"/>
    <w:rsid w:val="00967C55"/>
    <w:rsid w:val="00977F79"/>
    <w:rsid w:val="0098371D"/>
    <w:rsid w:val="009C7368"/>
    <w:rsid w:val="009C7720"/>
    <w:rsid w:val="00A11CD7"/>
    <w:rsid w:val="00A23AFA"/>
    <w:rsid w:val="00A31B3E"/>
    <w:rsid w:val="00A532F3"/>
    <w:rsid w:val="00A5752B"/>
    <w:rsid w:val="00A8489E"/>
    <w:rsid w:val="00AB02A7"/>
    <w:rsid w:val="00AC29F3"/>
    <w:rsid w:val="00AD750D"/>
    <w:rsid w:val="00B126DA"/>
    <w:rsid w:val="00B231E5"/>
    <w:rsid w:val="00B2663D"/>
    <w:rsid w:val="00B75AFB"/>
    <w:rsid w:val="00B93B8B"/>
    <w:rsid w:val="00C02B87"/>
    <w:rsid w:val="00C10414"/>
    <w:rsid w:val="00C4086D"/>
    <w:rsid w:val="00C50258"/>
    <w:rsid w:val="00C85E6B"/>
    <w:rsid w:val="00C96EB9"/>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20B0"/>
    <w:rsid w:val="00E81B40"/>
    <w:rsid w:val="00E86EEC"/>
    <w:rsid w:val="00E94E75"/>
    <w:rsid w:val="00EB3223"/>
    <w:rsid w:val="00EF555B"/>
    <w:rsid w:val="00F027BB"/>
    <w:rsid w:val="00F11DCF"/>
    <w:rsid w:val="00F162EA"/>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D2B40"/>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es-CO"/>
        </a:p>
      </dgm:t>
    </dgm:pt>
    <dgm:pt modelId="{8E21BC76-C266-4BA5-B9E5-D75A02A7C855}">
      <dgm:prSet phldrT="[Texto]" custT="1"/>
      <dgm:spPr/>
      <dgm:t>
        <a:bodyPr/>
        <a:lstStyle/>
        <a:p>
          <a:pPr algn="ctr"/>
          <a:r>
            <a:rPr lang="es-CO" sz="900" b="1">
              <a:solidFill>
                <a:schemeClr val="tx1">
                  <a:lumMod val="95000"/>
                  <a:lumOff val="5000"/>
                </a:schemeClr>
              </a:solidFill>
              <a:latin typeface="+mj-lt"/>
            </a:rPr>
            <a:t>1. Gestión del Riesgo de Corrupción</a:t>
          </a:r>
        </a:p>
      </dgm:t>
    </dgm:pt>
    <dgm:pt modelId="{22537FDF-4875-49BF-857C-2A34D8F16D7A}" type="parTrans" cxnId="{BFF65848-3847-45DB-9415-31CD07999565}">
      <dgm:prSet/>
      <dgm:spPr/>
      <dgm:t>
        <a:bodyPr/>
        <a:lstStyle/>
        <a:p>
          <a:pPr algn="ctr"/>
          <a:endParaRPr lang="es-CO" sz="11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100">
            <a:solidFill>
              <a:schemeClr val="tx1">
                <a:lumMod val="95000"/>
                <a:lumOff val="5000"/>
              </a:schemeClr>
            </a:solidFill>
          </a:endParaRPr>
        </a:p>
      </dgm:t>
    </dgm:pt>
    <dgm:pt modelId="{09398D47-94A6-4CCB-BD57-89C7B1521AB5}">
      <dgm:prSet phldrT="[Texto]" custT="1"/>
      <dgm:spPr/>
      <dgm:t>
        <a:bodyPr/>
        <a:lstStyle/>
        <a:p>
          <a:pPr algn="ctr"/>
          <a:r>
            <a:rPr lang="es-CO" sz="900" b="1">
              <a:solidFill>
                <a:schemeClr val="tx1">
                  <a:lumMod val="95000"/>
                  <a:lumOff val="5000"/>
                </a:schemeClr>
              </a:solidFill>
              <a:latin typeface="+mj-lt"/>
            </a:rPr>
            <a:t>2. Racionalización de Tramites</a:t>
          </a:r>
        </a:p>
      </dgm:t>
    </dgm:pt>
    <dgm:pt modelId="{27987AFA-85C9-4FDC-8480-3C3CD6CA1E0F}" type="parTrans" cxnId="{668530A4-310A-4F0D-812F-CB0315B07BD9}">
      <dgm:prSet/>
      <dgm:spPr/>
      <dgm:t>
        <a:bodyPr/>
        <a:lstStyle/>
        <a:p>
          <a:pPr algn="ctr"/>
          <a:endParaRPr lang="es-CO" sz="11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100">
            <a:solidFill>
              <a:schemeClr val="tx1">
                <a:lumMod val="95000"/>
                <a:lumOff val="5000"/>
              </a:schemeClr>
            </a:solidFill>
          </a:endParaRPr>
        </a:p>
      </dgm:t>
    </dgm:pt>
    <dgm:pt modelId="{AE795057-D0E0-4AC8-84EC-88A01723FC79}">
      <dgm:prSet phldrT="[Texto]" custT="1"/>
      <dgm:spPr/>
      <dgm:t>
        <a:bodyPr/>
        <a:lstStyle/>
        <a:p>
          <a:pPr algn="ctr"/>
          <a:r>
            <a:rPr lang="es-CO" sz="900" b="1">
              <a:solidFill>
                <a:schemeClr val="tx1">
                  <a:lumMod val="95000"/>
                  <a:lumOff val="5000"/>
                </a:schemeClr>
              </a:solidFill>
              <a:latin typeface="+mj-lt"/>
            </a:rPr>
            <a:t>3. Rendición de Cuentas</a:t>
          </a:r>
        </a:p>
      </dgm:t>
    </dgm:pt>
    <dgm:pt modelId="{46802252-2744-4D75-9FC9-1C12A2B4E659}" type="parTrans" cxnId="{0855C0EB-54CF-4E44-9332-4D17811DECF5}">
      <dgm:prSet/>
      <dgm:spPr/>
      <dgm:t>
        <a:bodyPr/>
        <a:lstStyle/>
        <a:p>
          <a:pPr algn="ctr"/>
          <a:endParaRPr lang="es-CO" sz="11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100">
            <a:solidFill>
              <a:schemeClr val="tx1">
                <a:lumMod val="95000"/>
                <a:lumOff val="5000"/>
              </a:schemeClr>
            </a:solidFill>
          </a:endParaRPr>
        </a:p>
      </dgm:t>
    </dgm:pt>
    <dgm:pt modelId="{7779B574-1D08-4DB1-9384-2AFC9B131AC7}">
      <dgm:prSet phldrT="[Texto]" custT="1"/>
      <dgm:spPr/>
      <dgm:t>
        <a:bodyPr/>
        <a:lstStyle/>
        <a:p>
          <a:pPr algn="ctr"/>
          <a:r>
            <a:rPr lang="es-CO" sz="900" b="1">
              <a:solidFill>
                <a:schemeClr val="tx1">
                  <a:lumMod val="95000"/>
                  <a:lumOff val="5000"/>
                </a:schemeClr>
              </a:solidFill>
              <a:latin typeface="+mj-lt"/>
            </a:rPr>
            <a:t>4. Mecanismos para Mejorar la Atención al ciudadano</a:t>
          </a:r>
        </a:p>
      </dgm:t>
    </dgm:pt>
    <dgm:pt modelId="{5BB3474B-C304-4E29-A6F0-E789A3A1D4EF}" type="parTrans" cxnId="{860308E4-F9CA-4D90-8F4A-C6B4DE51B8BD}">
      <dgm:prSet/>
      <dgm:spPr/>
      <dgm:t>
        <a:bodyPr/>
        <a:lstStyle/>
        <a:p>
          <a:pPr algn="ctr"/>
          <a:endParaRPr lang="es-CO" sz="11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100">
            <a:solidFill>
              <a:schemeClr val="tx1">
                <a:lumMod val="95000"/>
                <a:lumOff val="5000"/>
              </a:schemeClr>
            </a:solidFill>
          </a:endParaRPr>
        </a:p>
      </dgm:t>
    </dgm:pt>
    <dgm:pt modelId="{5E63FD3A-46F9-42A0-9DC0-B5ADDAF5D755}">
      <dgm:prSet phldrT="[Texto]" custT="1"/>
      <dgm:spPr/>
      <dgm:t>
        <a:bodyPr/>
        <a:lstStyle/>
        <a:p>
          <a:pPr algn="ctr"/>
          <a:r>
            <a:rPr lang="es-CO" sz="900" b="1">
              <a:solidFill>
                <a:schemeClr val="tx1">
                  <a:lumMod val="95000"/>
                  <a:lumOff val="5000"/>
                </a:schemeClr>
              </a:solidFill>
              <a:latin typeface="+mj-lt"/>
            </a:rPr>
            <a:t>6. Iniciativas Adicionales</a:t>
          </a:r>
        </a:p>
      </dgm:t>
    </dgm:pt>
    <dgm:pt modelId="{C2C8D8B1-466C-42C4-8938-C27943D17158}" type="parTrans" cxnId="{30C6137E-4899-49D4-9BF2-CC4A9F059174}">
      <dgm:prSet/>
      <dgm:spPr/>
      <dgm:t>
        <a:bodyPr/>
        <a:lstStyle/>
        <a:p>
          <a:pPr algn="ctr"/>
          <a:endParaRPr lang="es-CO" sz="11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900">
            <a:solidFill>
              <a:schemeClr val="tx1">
                <a:lumMod val="95000"/>
                <a:lumOff val="5000"/>
              </a:schemeClr>
            </a:solidFill>
            <a:latin typeface="+mj-lt"/>
          </a:endParaRPr>
        </a:p>
      </dgm:t>
    </dgm:pt>
    <dgm:pt modelId="{82EA7397-520E-426E-AEC5-9520C510FB65}">
      <dgm:prSet custT="1"/>
      <dgm:spPr/>
      <dgm:t>
        <a:bodyPr/>
        <a:lstStyle/>
        <a:p>
          <a:pPr algn="ctr"/>
          <a:r>
            <a:rPr lang="es-CO" sz="900" b="1">
              <a:solidFill>
                <a:schemeClr val="tx1">
                  <a:lumMod val="95000"/>
                  <a:lumOff val="5000"/>
                </a:schemeClr>
              </a:solidFill>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1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1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CO"/>
        </a:p>
      </dgm:t>
    </dgm:pt>
    <dgm:pt modelId="{CBB43474-595A-4F31-971C-14C9E317063E}" type="pres">
      <dgm:prSet presAssocID="{8E21BC76-C266-4BA5-B9E5-D75A02A7C855}" presName="node" presStyleLbl="node1" presStyleIdx="0" presStyleCnt="6" custScaleX="136325" custScaleY="131477">
        <dgm:presLayoutVars>
          <dgm:bulletEnabled val="1"/>
        </dgm:presLayoutVars>
      </dgm:prSet>
      <dgm:spPr/>
      <dgm:t>
        <a:bodyPr/>
        <a:lstStyle/>
        <a:p>
          <a:endParaRPr lang="es-CO"/>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CO"/>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CO"/>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CO"/>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CO"/>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CO"/>
        </a:p>
      </dgm:t>
    </dgm:pt>
    <dgm:pt modelId="{5A993CC7-38DE-42D2-973B-19668B88B1DA}" type="pres">
      <dgm:prSet presAssocID="{7779B574-1D08-4DB1-9384-2AFC9B131AC7}" presName="node" presStyleLbl="node1" presStyleIdx="3" presStyleCnt="6" custScaleX="136325" custScaleY="131477">
        <dgm:presLayoutVars>
          <dgm:bulletEnabled val="1"/>
        </dgm:presLayoutVars>
      </dgm:prSet>
      <dgm:spPr/>
      <dgm:t>
        <a:bodyPr/>
        <a:lstStyle/>
        <a:p>
          <a:endParaRPr lang="es-CO"/>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CO"/>
        </a:p>
      </dgm:t>
    </dgm:pt>
    <dgm:pt modelId="{A716770F-19AB-484F-B610-101CCA6FE0A9}" type="pres">
      <dgm:prSet presAssocID="{82EA7397-520E-426E-AEC5-9520C510FB65}" presName="node" presStyleLbl="node1" presStyleIdx="4" presStyleCnt="6" custScaleX="136325" custScaleY="131477" custRadScaleRad="98860" custRadScaleInc="28293">
        <dgm:presLayoutVars>
          <dgm:bulletEnabled val="1"/>
        </dgm:presLayoutVars>
      </dgm:prSet>
      <dgm:spPr/>
      <dgm:t>
        <a:bodyPr/>
        <a:lstStyle/>
        <a:p>
          <a:endParaRPr lang="es-CO"/>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CO"/>
        </a:p>
      </dgm:t>
    </dgm:pt>
    <dgm:pt modelId="{8A37AACA-ACBB-423E-BFDA-BF0920630349}" type="pres">
      <dgm:prSet presAssocID="{5E63FD3A-46F9-42A0-9DC0-B5ADDAF5D755}" presName="node" presStyleLbl="node1" presStyleIdx="5" presStyleCnt="6" custScaleX="136325" custScaleY="131477" custRadScaleRad="97292" custRadScaleInc="-48330">
        <dgm:presLayoutVars>
          <dgm:bulletEnabled val="1"/>
        </dgm:presLayoutVars>
      </dgm:prSet>
      <dgm:spPr/>
      <dgm:t>
        <a:bodyPr/>
        <a:lstStyle/>
        <a:p>
          <a:endParaRPr lang="es-CO"/>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CO"/>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49370" y="-101491"/>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1. Gestión del Riesgo de Corrupción</a:t>
          </a:r>
        </a:p>
      </dsp:txBody>
      <dsp:txXfrm>
        <a:off x="1790920" y="-59941"/>
        <a:ext cx="1274639" cy="768046"/>
      </dsp:txXfrm>
    </dsp:sp>
    <dsp:sp modelId="{67492A14-9E9B-423D-983E-206B8F471C65}">
      <dsp:nvSpPr>
        <dsp:cNvPr id="0" name=""/>
        <dsp:cNvSpPr/>
      </dsp:nvSpPr>
      <dsp:spPr>
        <a:xfrm>
          <a:off x="806876" y="271395"/>
          <a:ext cx="3048807" cy="3048807"/>
        </a:xfrm>
        <a:custGeom>
          <a:avLst/>
          <a:gdLst/>
          <a:ahLst/>
          <a:cxnLst/>
          <a:rect l="0" t="0" r="0" b="0"/>
          <a:pathLst>
            <a:path>
              <a:moveTo>
                <a:pt x="2305446" y="215290"/>
              </a:moveTo>
              <a:arcTo wR="1524403" hR="1524403" stAng="18049269" swAng="1349457"/>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131250" y="889904"/>
          <a:ext cx="1357739" cy="851146"/>
        </a:xfrm>
        <a:prstGeom prst="roundRect">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2. Racionalización de Tramites</a:t>
          </a:r>
        </a:p>
      </dsp:txBody>
      <dsp:txXfrm>
        <a:off x="3172800" y="931454"/>
        <a:ext cx="1274639" cy="768046"/>
      </dsp:txXfrm>
    </dsp:sp>
    <dsp:sp modelId="{A5E1D3AB-EC50-4D05-8011-4BD8183C7DFB}">
      <dsp:nvSpPr>
        <dsp:cNvPr id="0" name=""/>
        <dsp:cNvSpPr/>
      </dsp:nvSpPr>
      <dsp:spPr>
        <a:xfrm>
          <a:off x="882048" y="493803"/>
          <a:ext cx="3048807" cy="3048807"/>
        </a:xfrm>
        <a:custGeom>
          <a:avLst/>
          <a:gdLst/>
          <a:ahLst/>
          <a:cxnLst/>
          <a:rect l="0" t="0" r="0" b="0"/>
          <a:pathLst>
            <a:path>
              <a:moveTo>
                <a:pt x="3023950" y="1250237"/>
              </a:moveTo>
              <a:arcTo wR="1524403" hR="1524403" stAng="20978334" swAng="673140"/>
            </a:path>
          </a:pathLst>
        </a:custGeom>
        <a:noFill/>
        <a:ln w="12700">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131256" y="2044072"/>
          <a:ext cx="1357739" cy="851146"/>
        </a:xfrm>
        <a:prstGeom prst="roundRect">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3. Rendición de Cuentas</a:t>
          </a:r>
        </a:p>
      </dsp:txBody>
      <dsp:txXfrm>
        <a:off x="3172806" y="2085622"/>
        <a:ext cx="1274639" cy="768046"/>
      </dsp:txXfrm>
    </dsp:sp>
    <dsp:sp modelId="{A423FC66-D6FF-465A-8B8C-026644769D01}">
      <dsp:nvSpPr>
        <dsp:cNvPr id="0" name=""/>
        <dsp:cNvSpPr/>
      </dsp:nvSpPr>
      <dsp:spPr>
        <a:xfrm>
          <a:off x="879320" y="336551"/>
          <a:ext cx="3048807" cy="3048807"/>
        </a:xfrm>
        <a:custGeom>
          <a:avLst/>
          <a:gdLst/>
          <a:ahLst/>
          <a:cxnLst/>
          <a:rect l="0" t="0" r="0" b="0"/>
          <a:pathLst>
            <a:path>
              <a:moveTo>
                <a:pt x="2640710" y="2562510"/>
              </a:moveTo>
              <a:arcTo wR="1524403" hR="1524403" stAng="2575272" swAng="1164194"/>
            </a:path>
          </a:pathLst>
        </a:custGeom>
        <a:noFill/>
        <a:ln w="12700">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49370" y="2947315"/>
          <a:ext cx="1357739" cy="851146"/>
        </a:xfrm>
        <a:prstGeom prst="roundRect">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4. Mecanismos para Mejorar la Atención al ciudadano</a:t>
          </a:r>
        </a:p>
      </dsp:txBody>
      <dsp:txXfrm>
        <a:off x="1790920" y="2988865"/>
        <a:ext cx="1274639" cy="768046"/>
      </dsp:txXfrm>
    </dsp:sp>
    <dsp:sp modelId="{B641F731-FA7C-46E5-86D7-8204BB7EB556}">
      <dsp:nvSpPr>
        <dsp:cNvPr id="0" name=""/>
        <dsp:cNvSpPr/>
      </dsp:nvSpPr>
      <dsp:spPr>
        <a:xfrm>
          <a:off x="950014" y="348040"/>
          <a:ext cx="3048807" cy="3048807"/>
        </a:xfrm>
        <a:custGeom>
          <a:avLst/>
          <a:gdLst/>
          <a:ahLst/>
          <a:cxnLst/>
          <a:rect l="0" t="0" r="0" b="0"/>
          <a:pathLst>
            <a:path>
              <a:moveTo>
                <a:pt x="794827" y="2862882"/>
              </a:moveTo>
              <a:arcTo wR="1524403" hR="1524403" stAng="7115632" swAng="1144414"/>
            </a:path>
          </a:pathLst>
        </a:custGeom>
        <a:noFill/>
        <a:ln w="12700">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76310" y="2044066"/>
          <a:ext cx="1357739" cy="851146"/>
        </a:xfrm>
        <a:prstGeom prst="roundRect">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5. Mecanimos para la Transparencia y Acceso a la Información</a:t>
          </a:r>
        </a:p>
      </dsp:txBody>
      <dsp:txXfrm>
        <a:off x="417860" y="2085616"/>
        <a:ext cx="1274639" cy="768046"/>
      </dsp:txXfrm>
    </dsp:sp>
    <dsp:sp modelId="{B63B18D3-81EE-4332-8815-7F0F05533E7A}">
      <dsp:nvSpPr>
        <dsp:cNvPr id="0" name=""/>
        <dsp:cNvSpPr/>
      </dsp:nvSpPr>
      <dsp:spPr>
        <a:xfrm>
          <a:off x="932398" y="450692"/>
          <a:ext cx="3048807" cy="3048807"/>
        </a:xfrm>
        <a:custGeom>
          <a:avLst/>
          <a:gdLst/>
          <a:ahLst/>
          <a:cxnLst/>
          <a:rect l="0" t="0" r="0" b="0"/>
          <a:pathLst>
            <a:path>
              <a:moveTo>
                <a:pt x="1434" y="1590520"/>
              </a:moveTo>
              <a:arcTo wR="1524403" hR="1524403" stAng="10650852" swAng="632399"/>
            </a:path>
          </a:pathLst>
        </a:custGeom>
        <a:noFill/>
        <a:ln w="12700">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58671" y="907538"/>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6. Iniciativas Adicionales</a:t>
          </a:r>
        </a:p>
      </dsp:txBody>
      <dsp:txXfrm>
        <a:off x="400221" y="949088"/>
        <a:ext cx="1274639" cy="768046"/>
      </dsp:txXfrm>
    </dsp:sp>
    <dsp:sp modelId="{A04D3B30-32DF-4615-9B38-B4B7DDE86BEE}">
      <dsp:nvSpPr>
        <dsp:cNvPr id="0" name=""/>
        <dsp:cNvSpPr/>
      </dsp:nvSpPr>
      <dsp:spPr>
        <a:xfrm>
          <a:off x="992989" y="275978"/>
          <a:ext cx="3048807" cy="3048807"/>
        </a:xfrm>
        <a:custGeom>
          <a:avLst/>
          <a:gdLst/>
          <a:ahLst/>
          <a:cxnLst/>
          <a:rect l="0" t="0" r="0" b="0"/>
          <a:pathLst>
            <a:path>
              <a:moveTo>
                <a:pt x="292539" y="626451"/>
              </a:moveTo>
              <a:arcTo wR="1524403" hR="1524403" stAng="12965383" swAng="1405205"/>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60B33-3AA0-4924-82A6-63791CD3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21</Pages>
  <Words>3681</Words>
  <Characters>20248</Characters>
  <Application>Microsoft Office Word</Application>
  <DocSecurity>0</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2</cp:revision>
  <cp:lastPrinted>2006-08-01T17:47:00Z</cp:lastPrinted>
  <dcterms:created xsi:type="dcterms:W3CDTF">2021-12-03T16:59:00Z</dcterms:created>
  <dcterms:modified xsi:type="dcterms:W3CDTF">2021-12-03T16:59:00Z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