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CD" w:rsidRDefault="004519FE" w:rsidP="001444BD">
      <w:pPr>
        <w:spacing w:after="0" w:line="240" w:lineRule="auto"/>
        <w:ind w:firstLine="354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-755650</wp:posOffset>
            </wp:positionH>
            <wp:positionV relativeFrom="margin">
              <wp:posOffset>-1137920</wp:posOffset>
            </wp:positionV>
            <wp:extent cx="6869430" cy="9159240"/>
            <wp:effectExtent l="0" t="0" r="7620" b="381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rtada R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915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9594E" w:rsidRDefault="004519FE" w:rsidP="001444BD">
      <w:pPr>
        <w:spacing w:after="0" w:line="240" w:lineRule="auto"/>
        <w:ind w:firstLine="354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9C8EC" wp14:editId="092DFAC7">
                <wp:simplePos x="0" y="0"/>
                <wp:positionH relativeFrom="margin">
                  <wp:posOffset>-905175</wp:posOffset>
                </wp:positionH>
                <wp:positionV relativeFrom="paragraph">
                  <wp:posOffset>-960020</wp:posOffset>
                </wp:positionV>
                <wp:extent cx="7171690" cy="857885"/>
                <wp:effectExtent l="57150" t="19050" r="67310" b="94615"/>
                <wp:wrapNone/>
                <wp:docPr id="10" name="3 Proceso alternativ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1690" cy="85788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9FE" w:rsidRPr="00E9035F" w:rsidRDefault="004519FE" w:rsidP="004519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64"/>
                                <w:szCs w:val="64"/>
                              </w:rPr>
                            </w:pPr>
                            <w:r w:rsidRPr="00E9035F"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 xml:space="preserve">Plan </w:t>
                            </w:r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>de Rendición de Cuentas</w:t>
                            </w:r>
                            <w:r w:rsidRPr="00E9035F"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9C8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3 Proceso alternativo" o:spid="_x0000_s1026" type="#_x0000_t176" style="position:absolute;left:0;text-align:left;margin-left:-71.25pt;margin-top:-75.6pt;width:564.7pt;height: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" fillcolor="#b6dde8 [1304]" strokecolor="#4f81bd [3204]">
                <v:shadow on="t" color="black" opacity="22937f" origin=",.5" offset="0,.63889mm"/>
                <v:path arrowok="t"/>
                <v:textbox>
                  <w:txbxContent>
                    <w:p w:rsidR="004519FE" w:rsidRPr="00E9035F" w:rsidRDefault="004519FE" w:rsidP="004519F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A442A" w:themeColor="background2" w:themeShade="40"/>
                          <w:sz w:val="64"/>
                          <w:szCs w:val="64"/>
                        </w:rPr>
                      </w:pPr>
                      <w:r w:rsidRPr="00E9035F"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 xml:space="preserve">Plan </w:t>
                      </w:r>
                      <w:r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>de Rendición de Cuentas</w:t>
                      </w:r>
                      <w:r w:rsidRPr="00E9035F"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72CE" w:rsidRDefault="00BE72CE" w:rsidP="00536FDF">
      <w:pPr>
        <w:jc w:val="both"/>
        <w:rPr>
          <w:rFonts w:ascii="Arial" w:hAnsi="Arial" w:cs="Arial"/>
          <w:color w:val="000000"/>
          <w:lang w:val="es-ES"/>
        </w:rPr>
      </w:pPr>
    </w:p>
    <w:p w:rsidR="002F23C9" w:rsidRDefault="002F23C9" w:rsidP="002F23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863C1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863C1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TERCER </w:t>
      </w:r>
      <w:r w:rsidR="005E5475" w:rsidRPr="005E5475">
        <w:rPr>
          <w:rFonts w:ascii="Arial" w:hAnsi="Arial" w:cs="Arial"/>
          <w:b/>
          <w:sz w:val="24"/>
          <w:szCs w:val="24"/>
        </w:rPr>
        <w:t>COMPONENTE</w:t>
      </w:r>
      <w:r w:rsidRPr="002E479A">
        <w:rPr>
          <w:rFonts w:ascii="Arial" w:hAnsi="Arial" w:cs="Arial"/>
          <w:b/>
        </w:rPr>
        <w:t>:</w:t>
      </w:r>
      <w:r w:rsidRPr="002E479A">
        <w:rPr>
          <w:rFonts w:ascii="Arial" w:hAnsi="Arial" w:cs="Arial"/>
        </w:rPr>
        <w:t xml:space="preserve"> </w:t>
      </w:r>
      <w:r w:rsidRPr="008A3D04">
        <w:rPr>
          <w:rFonts w:ascii="Arial" w:hAnsi="Arial" w:cs="Arial"/>
          <w:sz w:val="24"/>
        </w:rPr>
        <w:t>RENDICIÓN DE CUENTAS</w:t>
      </w:r>
    </w:p>
    <w:p w:rsidR="002F23C9" w:rsidRDefault="002F23C9" w:rsidP="00EE034F">
      <w:pPr>
        <w:jc w:val="both"/>
        <w:rPr>
          <w:rFonts w:ascii="Arial" w:hAnsi="Arial" w:cs="Arial"/>
          <w:color w:val="000000"/>
          <w:lang w:val="es-ES"/>
        </w:rPr>
      </w:pPr>
    </w:p>
    <w:p w:rsidR="00577955" w:rsidRDefault="00EE034F" w:rsidP="00EE034F">
      <w:pPr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Basados en el documentos COMPES 3654 de 2010, en el cual se define como el </w:t>
      </w:r>
      <w:r w:rsidRPr="00EE034F">
        <w:rPr>
          <w:rFonts w:ascii="Arial" w:hAnsi="Arial" w:cs="Arial"/>
          <w:color w:val="000000"/>
          <w:lang w:val="es-ES"/>
        </w:rPr>
        <w:t xml:space="preserve">objetivo central </w:t>
      </w:r>
      <w:r>
        <w:rPr>
          <w:rFonts w:ascii="Arial" w:hAnsi="Arial" w:cs="Arial"/>
          <w:color w:val="000000"/>
          <w:lang w:val="es-ES"/>
        </w:rPr>
        <w:t xml:space="preserve">de </w:t>
      </w:r>
      <w:r w:rsidRPr="00EE034F">
        <w:rPr>
          <w:rFonts w:ascii="Arial" w:hAnsi="Arial" w:cs="Arial"/>
          <w:color w:val="000000"/>
          <w:lang w:val="es-ES"/>
        </w:rPr>
        <w:t>rendición de cuentas</w:t>
      </w:r>
      <w:r>
        <w:rPr>
          <w:rFonts w:ascii="Arial" w:hAnsi="Arial" w:cs="Arial"/>
          <w:color w:val="000000"/>
          <w:lang w:val="es-ES"/>
        </w:rPr>
        <w:t>,</w:t>
      </w:r>
      <w:r w:rsidRPr="00EE034F">
        <w:rPr>
          <w:rFonts w:ascii="Arial" w:hAnsi="Arial" w:cs="Arial"/>
          <w:color w:val="000000"/>
          <w:lang w:val="es-ES"/>
        </w:rPr>
        <w:t xml:space="preserve"> como un proceso permanente que comprenda tanto la oferta de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EE034F">
        <w:rPr>
          <w:rFonts w:ascii="Arial" w:hAnsi="Arial" w:cs="Arial"/>
          <w:color w:val="000000"/>
          <w:lang w:val="es-ES"/>
        </w:rPr>
        <w:t>información clara y comprensible como espacios institucionalizados de explicación y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EE034F">
        <w:rPr>
          <w:rFonts w:ascii="Arial" w:hAnsi="Arial" w:cs="Arial"/>
          <w:color w:val="000000"/>
          <w:lang w:val="es-ES"/>
        </w:rPr>
        <w:t>justificación de las decisiones, acciones y resultados en el ciclo de la gestión pública (planeación,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EE034F">
        <w:rPr>
          <w:rFonts w:ascii="Arial" w:hAnsi="Arial" w:cs="Arial"/>
          <w:color w:val="000000"/>
          <w:lang w:val="es-ES"/>
        </w:rPr>
        <w:t>presupuestación, ejecución, seguimiento y evaluación); igualmente aumentar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EE034F">
        <w:rPr>
          <w:rFonts w:ascii="Arial" w:hAnsi="Arial" w:cs="Arial"/>
          <w:color w:val="000000"/>
          <w:lang w:val="es-ES"/>
        </w:rPr>
        <w:t>sustancialmente el número de ciudadanos y organizaciones que hacen parte de ejercicios de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EE034F">
        <w:rPr>
          <w:rFonts w:ascii="Arial" w:hAnsi="Arial" w:cs="Arial"/>
          <w:color w:val="000000"/>
          <w:lang w:val="es-ES"/>
        </w:rPr>
        <w:t>rendición de cuentas.</w:t>
      </w:r>
    </w:p>
    <w:p w:rsidR="00224F8F" w:rsidRDefault="00B924A5" w:rsidP="00B924A5">
      <w:pPr>
        <w:jc w:val="both"/>
        <w:rPr>
          <w:rFonts w:ascii="Arial" w:hAnsi="Arial" w:cs="Arial"/>
          <w:color w:val="000000"/>
          <w:lang w:val="es-ES"/>
        </w:rPr>
        <w:sectPr w:rsidR="00224F8F" w:rsidSect="00E50F6F">
          <w:footerReference w:type="default" r:id="rId9"/>
          <w:pgSz w:w="12242" w:h="15842" w:code="1"/>
          <w:pgMar w:top="2410" w:right="1418" w:bottom="1701" w:left="1985" w:header="709" w:footer="709" w:gutter="0"/>
          <w:cols w:space="708"/>
          <w:docGrid w:linePitch="360"/>
        </w:sectPr>
      </w:pPr>
      <w:r w:rsidRPr="00B924A5">
        <w:rPr>
          <w:rFonts w:ascii="Arial" w:hAnsi="Arial" w:cs="Arial"/>
          <w:color w:val="000000"/>
          <w:lang w:val="es-ES"/>
        </w:rPr>
        <w:t>La rendición de cuentas se suele entender únicamente como los ejercicios periódicos tales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como audiencias públicas, pero estos lineamientos de política buscan que se amplíe esa visión y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que la rendición de cuentas a la ciudadanía se convierta en una práctica organizada como un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proceso permanente, que se realiza a través de diferentes espacios de encuentro con la ciudadanía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(mesas de trabajo, foros, ferias, audiencias públicas, consejos comunitarios, etc.) y se apoya en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diferentes medios (basados en TIC y presenciales, en medios de comunicación comunitarios y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masivos, orales y escritos), una actitud de transparencia y apertura en el sector público, y que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finalmente se llegue a una cultura de la rendición de cuentas entre los servidores públicos que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924A5">
        <w:rPr>
          <w:rFonts w:ascii="Arial" w:hAnsi="Arial" w:cs="Arial"/>
          <w:color w:val="000000"/>
          <w:lang w:val="es-ES"/>
        </w:rPr>
        <w:t>transforme las relaciones con los ciudadanos</w:t>
      </w:r>
      <w:r>
        <w:rPr>
          <w:rStyle w:val="Refdenotaalpie"/>
          <w:rFonts w:ascii="Arial" w:hAnsi="Arial" w:cs="Arial"/>
          <w:color w:val="000000"/>
          <w:lang w:val="es-ES"/>
        </w:rPr>
        <w:footnoteReference w:id="1"/>
      </w:r>
    </w:p>
    <w:tbl>
      <w:tblPr>
        <w:tblpPr w:leftFromText="141" w:rightFromText="141" w:vertAnchor="page" w:horzAnchor="page" w:tblpXSpec="center" w:tblpY="1931"/>
        <w:tblW w:w="1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851"/>
        <w:gridCol w:w="5389"/>
        <w:gridCol w:w="4395"/>
        <w:gridCol w:w="4958"/>
        <w:gridCol w:w="1559"/>
      </w:tblGrid>
      <w:tr w:rsidR="00BB0941" w:rsidTr="005737B8">
        <w:trPr>
          <w:trHeight w:hRule="exact" w:val="436"/>
          <w:tblHeader/>
          <w:jc w:val="center"/>
        </w:trPr>
        <w:tc>
          <w:tcPr>
            <w:tcW w:w="19567" w:type="dxa"/>
            <w:gridSpan w:val="6"/>
            <w:shd w:val="clear" w:color="auto" w:fill="E5E6E7"/>
          </w:tcPr>
          <w:p w:rsidR="00BB0941" w:rsidRPr="00532FC7" w:rsidRDefault="00BB0941" w:rsidP="00CA336D">
            <w:pPr>
              <w:spacing w:before="62"/>
              <w:jc w:val="center"/>
              <w:rPr>
                <w:sz w:val="24"/>
                <w:szCs w:val="16"/>
              </w:rPr>
            </w:pPr>
            <w:r w:rsidRPr="00532FC7">
              <w:rPr>
                <w:b/>
                <w:color w:val="363435"/>
                <w:sz w:val="24"/>
                <w:szCs w:val="16"/>
              </w:rPr>
              <w:lastRenderedPageBreak/>
              <w:t>Plan</w:t>
            </w:r>
            <w:r w:rsidRPr="00532FC7">
              <w:rPr>
                <w:b/>
                <w:color w:val="363435"/>
                <w:spacing w:val="-6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w w:val="95"/>
                <w:sz w:val="24"/>
                <w:szCs w:val="16"/>
              </w:rPr>
              <w:t>Anticor</w:t>
            </w:r>
            <w:r w:rsidRPr="00532FC7">
              <w:rPr>
                <w:b/>
                <w:color w:val="363435"/>
                <w:spacing w:val="3"/>
                <w:w w:val="95"/>
                <w:sz w:val="24"/>
                <w:szCs w:val="16"/>
              </w:rPr>
              <w:t>r</w:t>
            </w:r>
            <w:r w:rsidRPr="00532FC7">
              <w:rPr>
                <w:b/>
                <w:color w:val="363435"/>
                <w:w w:val="95"/>
                <w:sz w:val="24"/>
                <w:szCs w:val="16"/>
              </w:rPr>
              <w:t>upción</w:t>
            </w:r>
            <w:r w:rsidRPr="00532FC7">
              <w:rPr>
                <w:b/>
                <w:color w:val="363435"/>
                <w:spacing w:val="9"/>
                <w:w w:val="95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y</w:t>
            </w:r>
            <w:r w:rsidRPr="00532FC7">
              <w:rPr>
                <w:b/>
                <w:color w:val="363435"/>
                <w:spacing w:val="9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de</w:t>
            </w:r>
            <w:r w:rsidRPr="00532FC7">
              <w:rPr>
                <w:b/>
                <w:color w:val="363435"/>
                <w:spacing w:val="16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Atención</w:t>
            </w:r>
            <w:r w:rsidRPr="00532FC7">
              <w:rPr>
                <w:b/>
                <w:color w:val="363435"/>
                <w:spacing w:val="-12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al</w:t>
            </w:r>
            <w:r w:rsidRPr="00532FC7">
              <w:rPr>
                <w:b/>
                <w:color w:val="363435"/>
                <w:spacing w:val="10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Ciudadano</w:t>
            </w:r>
          </w:p>
        </w:tc>
      </w:tr>
      <w:tr w:rsidR="00BB0941" w:rsidTr="005737B8">
        <w:trPr>
          <w:trHeight w:hRule="exact" w:val="428"/>
          <w:tblHeader/>
          <w:jc w:val="center"/>
        </w:trPr>
        <w:tc>
          <w:tcPr>
            <w:tcW w:w="19567" w:type="dxa"/>
            <w:gridSpan w:val="6"/>
            <w:shd w:val="clear" w:color="auto" w:fill="E5E6E7"/>
          </w:tcPr>
          <w:p w:rsidR="00BB0941" w:rsidRPr="00532FC7" w:rsidRDefault="00BB0941" w:rsidP="00CA336D">
            <w:pPr>
              <w:spacing w:before="62"/>
              <w:jc w:val="center"/>
              <w:rPr>
                <w:sz w:val="24"/>
                <w:szCs w:val="16"/>
              </w:rPr>
            </w:pPr>
            <w:r w:rsidRPr="00532FC7">
              <w:rPr>
                <w:b/>
                <w:color w:val="363435"/>
                <w:sz w:val="24"/>
                <w:szCs w:val="16"/>
              </w:rPr>
              <w:t>Componente</w:t>
            </w:r>
            <w:r w:rsidRPr="00532FC7">
              <w:rPr>
                <w:b/>
                <w:color w:val="363435"/>
                <w:spacing w:val="-3"/>
                <w:sz w:val="24"/>
                <w:szCs w:val="16"/>
              </w:rPr>
              <w:t xml:space="preserve"> </w:t>
            </w:r>
            <w:r>
              <w:rPr>
                <w:b/>
                <w:color w:val="363435"/>
                <w:spacing w:val="-3"/>
                <w:sz w:val="24"/>
                <w:szCs w:val="16"/>
              </w:rPr>
              <w:t>3</w:t>
            </w:r>
            <w:r w:rsidRPr="00532FC7">
              <w:rPr>
                <w:b/>
                <w:color w:val="363435"/>
                <w:sz w:val="24"/>
                <w:szCs w:val="16"/>
              </w:rPr>
              <w:t>:</w:t>
            </w:r>
            <w:r w:rsidRPr="00532FC7">
              <w:rPr>
                <w:b/>
                <w:color w:val="363435"/>
                <w:spacing w:val="11"/>
                <w:sz w:val="24"/>
                <w:szCs w:val="16"/>
              </w:rPr>
              <w:t xml:space="preserve"> </w:t>
            </w:r>
            <w:r w:rsidRPr="00224F8F">
              <w:rPr>
                <w:b/>
                <w:color w:val="363435"/>
                <w:sz w:val="24"/>
                <w:szCs w:val="16"/>
              </w:rPr>
              <w:t>Rendición de cuentas</w:t>
            </w:r>
          </w:p>
        </w:tc>
      </w:tr>
      <w:tr w:rsidR="00BB0941" w:rsidTr="005737B8">
        <w:trPr>
          <w:trHeight w:hRule="exact" w:val="566"/>
          <w:tblHeader/>
          <w:jc w:val="center"/>
        </w:trPr>
        <w:tc>
          <w:tcPr>
            <w:tcW w:w="2415" w:type="dxa"/>
            <w:vAlign w:val="center"/>
          </w:tcPr>
          <w:p w:rsidR="00BB0941" w:rsidRPr="00532FC7" w:rsidRDefault="00BB0941" w:rsidP="00CA336D">
            <w:pPr>
              <w:jc w:val="center"/>
              <w:rPr>
                <w:b/>
                <w:sz w:val="20"/>
                <w:szCs w:val="16"/>
              </w:rPr>
            </w:pPr>
            <w:r w:rsidRPr="00D072EA">
              <w:rPr>
                <w:rFonts w:ascii="Arial" w:hAnsi="Arial" w:cs="Arial"/>
                <w:b/>
                <w:color w:val="363435"/>
                <w:sz w:val="18"/>
                <w:szCs w:val="16"/>
              </w:rPr>
              <w:t>Subcomponente/procesos</w:t>
            </w:r>
          </w:p>
        </w:tc>
        <w:tc>
          <w:tcPr>
            <w:tcW w:w="6240" w:type="dxa"/>
            <w:gridSpan w:val="2"/>
            <w:vAlign w:val="center"/>
          </w:tcPr>
          <w:p w:rsidR="00BB0941" w:rsidRPr="00D072EA" w:rsidRDefault="00BB0941" w:rsidP="00CA336D">
            <w:pPr>
              <w:spacing w:before="62"/>
              <w:ind w:left="741"/>
              <w:jc w:val="center"/>
              <w:rPr>
                <w:b/>
                <w:sz w:val="18"/>
                <w:szCs w:val="16"/>
              </w:rPr>
            </w:pPr>
            <w:r w:rsidRPr="00D072EA">
              <w:rPr>
                <w:b/>
                <w:color w:val="363435"/>
                <w:w w:val="105"/>
                <w:sz w:val="18"/>
                <w:szCs w:val="16"/>
              </w:rPr>
              <w:t>Actividades</w:t>
            </w:r>
          </w:p>
        </w:tc>
        <w:tc>
          <w:tcPr>
            <w:tcW w:w="4395" w:type="dxa"/>
            <w:vAlign w:val="center"/>
          </w:tcPr>
          <w:p w:rsidR="00BB0941" w:rsidRPr="00D072EA" w:rsidRDefault="00BB0941" w:rsidP="00CA336D">
            <w:pPr>
              <w:spacing w:before="60"/>
              <w:ind w:left="91"/>
              <w:jc w:val="center"/>
              <w:rPr>
                <w:b/>
                <w:sz w:val="18"/>
                <w:szCs w:val="16"/>
              </w:rPr>
            </w:pPr>
            <w:r w:rsidRPr="00D072EA">
              <w:rPr>
                <w:b/>
                <w:color w:val="363435"/>
                <w:spacing w:val="-11"/>
                <w:sz w:val="18"/>
                <w:szCs w:val="16"/>
              </w:rPr>
              <w:t>Met</w:t>
            </w:r>
            <w:r w:rsidRPr="00D072EA">
              <w:rPr>
                <w:b/>
                <w:color w:val="363435"/>
                <w:sz w:val="18"/>
                <w:szCs w:val="16"/>
              </w:rPr>
              <w:t>a</w:t>
            </w:r>
            <w:r w:rsidRPr="00D072EA">
              <w:rPr>
                <w:b/>
                <w:color w:val="363435"/>
                <w:spacing w:val="13"/>
                <w:sz w:val="18"/>
                <w:szCs w:val="16"/>
              </w:rPr>
              <w:t xml:space="preserve"> </w:t>
            </w:r>
            <w:r w:rsidRPr="00D072EA">
              <w:rPr>
                <w:b/>
                <w:color w:val="363435"/>
                <w:sz w:val="18"/>
                <w:szCs w:val="16"/>
              </w:rPr>
              <w:t>o</w:t>
            </w:r>
            <w:r w:rsidRPr="00D072EA">
              <w:rPr>
                <w:b/>
                <w:color w:val="363435"/>
                <w:spacing w:val="-3"/>
                <w:sz w:val="18"/>
                <w:szCs w:val="16"/>
              </w:rPr>
              <w:t xml:space="preserve"> </w:t>
            </w:r>
            <w:r w:rsidRPr="00D072EA">
              <w:rPr>
                <w:b/>
                <w:color w:val="363435"/>
                <w:spacing w:val="-11"/>
                <w:w w:val="108"/>
                <w:sz w:val="18"/>
                <w:szCs w:val="16"/>
              </w:rPr>
              <w:t>producto</w:t>
            </w:r>
          </w:p>
        </w:tc>
        <w:tc>
          <w:tcPr>
            <w:tcW w:w="4958" w:type="dxa"/>
            <w:vAlign w:val="center"/>
          </w:tcPr>
          <w:p w:rsidR="00BB0941" w:rsidRPr="00D072EA" w:rsidRDefault="00BB0941" w:rsidP="00CA336D">
            <w:pPr>
              <w:spacing w:before="60"/>
              <w:ind w:left="159"/>
              <w:jc w:val="center"/>
              <w:rPr>
                <w:b/>
                <w:sz w:val="18"/>
                <w:szCs w:val="16"/>
              </w:rPr>
            </w:pPr>
            <w:r w:rsidRPr="00D072EA">
              <w:rPr>
                <w:b/>
                <w:color w:val="363435"/>
                <w:w w:val="107"/>
                <w:sz w:val="18"/>
                <w:szCs w:val="16"/>
              </w:rPr>
              <w:t>Responsable</w:t>
            </w:r>
          </w:p>
        </w:tc>
        <w:tc>
          <w:tcPr>
            <w:tcW w:w="1559" w:type="dxa"/>
            <w:vAlign w:val="center"/>
          </w:tcPr>
          <w:p w:rsidR="00BB0941" w:rsidRPr="00D072EA" w:rsidRDefault="00BB0941" w:rsidP="00CA336D">
            <w:pPr>
              <w:spacing w:before="60"/>
              <w:ind w:left="85"/>
              <w:jc w:val="center"/>
              <w:rPr>
                <w:b/>
                <w:sz w:val="18"/>
                <w:szCs w:val="16"/>
              </w:rPr>
            </w:pPr>
            <w:r w:rsidRPr="00D072EA">
              <w:rPr>
                <w:b/>
                <w:color w:val="363435"/>
                <w:sz w:val="18"/>
                <w:szCs w:val="16"/>
              </w:rPr>
              <w:t>Fecha</w:t>
            </w:r>
            <w:r w:rsidRPr="00D072EA">
              <w:rPr>
                <w:b/>
                <w:color w:val="363435"/>
                <w:spacing w:val="40"/>
                <w:sz w:val="18"/>
                <w:szCs w:val="16"/>
              </w:rPr>
              <w:t xml:space="preserve"> </w:t>
            </w:r>
            <w:r>
              <w:rPr>
                <w:b/>
                <w:color w:val="363435"/>
                <w:w w:val="114"/>
                <w:sz w:val="18"/>
                <w:szCs w:val="16"/>
              </w:rPr>
              <w:t>progra</w:t>
            </w:r>
            <w:r w:rsidRPr="00D072EA">
              <w:rPr>
                <w:b/>
                <w:color w:val="363435"/>
                <w:w w:val="114"/>
                <w:sz w:val="18"/>
                <w:szCs w:val="16"/>
              </w:rPr>
              <w:t>mada</w:t>
            </w:r>
          </w:p>
        </w:tc>
      </w:tr>
      <w:tr w:rsidR="00BB0941" w:rsidTr="005737B8">
        <w:trPr>
          <w:trHeight w:hRule="exact" w:val="556"/>
          <w:jc w:val="center"/>
        </w:trPr>
        <w:tc>
          <w:tcPr>
            <w:tcW w:w="2415" w:type="dxa"/>
            <w:vMerge w:val="restart"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Subcomponente 1</w:t>
            </w:r>
          </w:p>
          <w:p w:rsidR="00BB0941" w:rsidRPr="00CA336D" w:rsidRDefault="00BB0941" w:rsidP="00CA336D">
            <w:pPr>
              <w:jc w:val="center"/>
              <w:rPr>
                <w:b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Información de calidad y en lenguaje comprensible</w:t>
            </w: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1.1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Aprestamiento: Conformar y capacitar un equipo de trabajo que lidere el proceso de planeación e implementación de los ejercicios de Rendición de Cuentas.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Capacitación ejecutada (formación que incluya la gestión y producción institucional asociada a los objetivos de Desarrollo Sostenible -ODS y Derechos Humanos DDHH)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Jefe de la Oficina de Planeación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Marzo de 2019</w:t>
            </w:r>
          </w:p>
        </w:tc>
      </w:tr>
      <w:tr w:rsidR="00BB0941" w:rsidTr="005737B8">
        <w:trPr>
          <w:trHeight w:hRule="exact" w:val="834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1.2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Diseño: Definir con base en los informes de caracterización de usuarios de rendición de cuentas y las encuestas de satisfacción de la última audiencia los métodos, mecanismos a utilizar, la información a preparar y los medios de comunicación y tecnológicos.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Métodos y mecanismos seleccionado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Profesional de la Oficina de Planeación (Líder) - Equipo de Trabajo de la Rendición de Cuentas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Abril y diciembre de 2019</w:t>
            </w:r>
          </w:p>
        </w:tc>
      </w:tr>
      <w:tr w:rsidR="00BB0941" w:rsidTr="005737B8">
        <w:trPr>
          <w:trHeight w:hRule="exact" w:val="453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color w:val="363435"/>
                <w:w w:val="123"/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1.3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Preparación: Producir y/o preparar la información de interés para los grupos de valor.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Informe de gestión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Líderes de Procesos (Jefes de Oficinas, Asesores y Subdirectores Generales) - Equipo de Trabajo de la Rendición de Cuentas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Abril y diciembre de 2019</w:t>
            </w:r>
          </w:p>
        </w:tc>
      </w:tr>
      <w:tr w:rsidR="00BB0941" w:rsidTr="005737B8">
        <w:trPr>
          <w:trHeight w:hRule="exact" w:val="555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1.4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Preparación: Revisar y convocar a los grupos de valor, ciudadanía y a los grupos de interés, para que participen en la rendición de cuentas.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Oficios, Radio, Prensa, Sitio web, Correo electrónico, Redes Sociales.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 xml:space="preserve">Profesional de la Oficina de Planeación - Líder de la Rendición de Cuentas, Profesional de Comunicaciones y de las </w:t>
            </w:r>
            <w:proofErr w:type="spellStart"/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TIC´s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Abril y diciembre de 2019</w:t>
            </w:r>
          </w:p>
        </w:tc>
      </w:tr>
      <w:tr w:rsidR="00CA336D" w:rsidTr="00F403CB">
        <w:trPr>
          <w:trHeight w:hRule="exact" w:val="563"/>
          <w:jc w:val="center"/>
        </w:trPr>
        <w:tc>
          <w:tcPr>
            <w:tcW w:w="2415" w:type="dxa"/>
            <w:vMerge w:val="restart"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Subcomponente 2</w:t>
            </w:r>
          </w:p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Diálogo de doble vía con la ciudadanía y sus organizaciones</w:t>
            </w: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2.1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Ejecución: Presentar la información de interés de los grupos valor, ciudadanía y los grupos de interés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1 </w:t>
            </w:r>
            <w:proofErr w:type="gramStart"/>
            <w:r w:rsidR="00BB0941" w:rsidRPr="00CA336D">
              <w:rPr>
                <w:rFonts w:ascii="Arial" w:hAnsi="Arial" w:cs="Arial"/>
                <w:color w:val="363435"/>
                <w:sz w:val="14"/>
                <w:szCs w:val="14"/>
              </w:rPr>
              <w:t>Documento</w:t>
            </w:r>
            <w:proofErr w:type="gramEnd"/>
            <w:r w:rsidR="00BB0941" w:rsidRPr="00CA336D">
              <w:rPr>
                <w:rFonts w:ascii="Arial" w:hAnsi="Arial" w:cs="Arial"/>
                <w:color w:val="363435"/>
                <w:sz w:val="14"/>
                <w:szCs w:val="14"/>
              </w:rPr>
              <w:t xml:space="preserve"> 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Líderes de Procesos (Jefes de Oficinas, Asesores, Secretario General y Subdirectores Generales)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151D85" w:rsidP="00F403CB">
            <w:pPr>
              <w:spacing w:before="60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Marzo 2019</w:t>
            </w:r>
          </w:p>
        </w:tc>
      </w:tr>
      <w:tr w:rsidR="00F403CB" w:rsidTr="00F403CB">
        <w:trPr>
          <w:trHeight w:hRule="exact" w:val="569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F403CB" w:rsidRPr="00CA336D" w:rsidRDefault="00F403CB" w:rsidP="00F403C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403CB" w:rsidRPr="00CA336D" w:rsidRDefault="00F403CB" w:rsidP="00F403CB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2.2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Ejecución: Retroalimentación a las intervenciones de los grupos de valor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Acta o informe de rendición de cuentas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Líderes de Procesos (Jefes de Oficinas, Asesores, Secretario General y Subdirectores Generales)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403CB" w:rsidRDefault="00F403CB" w:rsidP="00F403CB">
            <w:pPr>
              <w:jc w:val="center"/>
            </w:pPr>
            <w:r w:rsidRPr="00A522FF">
              <w:rPr>
                <w:rFonts w:ascii="Arial" w:hAnsi="Arial" w:cs="Arial"/>
                <w:color w:val="363435"/>
                <w:sz w:val="14"/>
                <w:szCs w:val="14"/>
              </w:rPr>
              <w:t>Cuatrimestral</w:t>
            </w:r>
          </w:p>
        </w:tc>
      </w:tr>
      <w:tr w:rsidR="00F403CB" w:rsidTr="00F403CB">
        <w:trPr>
          <w:trHeight w:hRule="exact" w:val="432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F403CB" w:rsidRPr="00CA336D" w:rsidRDefault="00F403CB" w:rsidP="00F403C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403CB" w:rsidRPr="00CA336D" w:rsidRDefault="00F403CB" w:rsidP="00F403CB">
            <w:pPr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2.3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Ejecución: Caracterizar los grupos de valor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 xml:space="preserve">Informe </w:t>
            </w:r>
            <w:r w:rsidR="00574ECB">
              <w:rPr>
                <w:rFonts w:ascii="Arial" w:hAnsi="Arial" w:cs="Arial"/>
                <w:color w:val="363435"/>
                <w:sz w:val="14"/>
                <w:szCs w:val="14"/>
              </w:rPr>
              <w:t xml:space="preserve">consolidado </w:t>
            </w: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de caracterización de los grupos de valor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Equipo de Trabajo de la Rendición de Cuentas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403CB" w:rsidRDefault="00574ECB" w:rsidP="00F403CB">
            <w:pPr>
              <w:jc w:val="center"/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Abril, </w:t>
            </w:r>
            <w:proofErr w:type="gramStart"/>
            <w:r>
              <w:rPr>
                <w:rFonts w:ascii="Arial" w:hAnsi="Arial" w:cs="Arial"/>
                <w:color w:val="363435"/>
                <w:sz w:val="14"/>
                <w:szCs w:val="14"/>
              </w:rPr>
              <w:t>Junio</w:t>
            </w:r>
            <w:proofErr w:type="gramEnd"/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 y Diciembre de 2019</w:t>
            </w:r>
          </w:p>
        </w:tc>
      </w:tr>
      <w:tr w:rsidR="00F403CB" w:rsidTr="00F403CB">
        <w:trPr>
          <w:trHeight w:hRule="exact" w:val="563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F403CB" w:rsidRPr="00CA336D" w:rsidRDefault="00F403CB" w:rsidP="00F403C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403CB" w:rsidRPr="00CA336D" w:rsidRDefault="00F403CB" w:rsidP="00F403CB">
            <w:pPr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2.4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Ejecución: Aplicar encuestas de evaluación de la rendición de cuentas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Informe de las encuestas de evaluación de rendición de cuentas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F403CB" w:rsidRPr="00CA336D" w:rsidRDefault="00F403CB" w:rsidP="00F403CB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Equipo de Trabajo de la Rendición de Cuentas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403CB" w:rsidRDefault="00F403CB" w:rsidP="00F403CB">
            <w:pPr>
              <w:jc w:val="center"/>
            </w:pPr>
            <w:r w:rsidRPr="00A522FF">
              <w:rPr>
                <w:rFonts w:ascii="Arial" w:hAnsi="Arial" w:cs="Arial"/>
                <w:color w:val="363435"/>
                <w:sz w:val="14"/>
                <w:szCs w:val="14"/>
              </w:rPr>
              <w:t>Cuatrimestral</w:t>
            </w:r>
          </w:p>
        </w:tc>
      </w:tr>
      <w:tr w:rsidR="00CA336D" w:rsidTr="005737B8">
        <w:trPr>
          <w:trHeight w:hRule="exact" w:val="563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2.5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Ejecución: Levantar acta o reporte de la rendición de cuentas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Acta o informe de rendición de cuentas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Profesional de la Secretaria General</w:t>
            </w:r>
            <w:r w:rsidR="00151D85">
              <w:rPr>
                <w:rFonts w:ascii="Arial" w:hAnsi="Arial" w:cs="Arial"/>
                <w:color w:val="363435"/>
                <w:sz w:val="14"/>
                <w:szCs w:val="14"/>
              </w:rPr>
              <w:t>/</w:t>
            </w:r>
            <w:proofErr w:type="gramStart"/>
            <w:r w:rsidR="00151D85">
              <w:rPr>
                <w:rFonts w:ascii="Arial" w:hAnsi="Arial" w:cs="Arial"/>
                <w:color w:val="363435"/>
                <w:sz w:val="14"/>
                <w:szCs w:val="14"/>
              </w:rPr>
              <w:t>Funcionarios</w:t>
            </w:r>
            <w:proofErr w:type="gramEnd"/>
            <w:r w:rsidR="00151D85">
              <w:rPr>
                <w:rFonts w:ascii="Arial" w:hAnsi="Arial" w:cs="Arial"/>
                <w:color w:val="363435"/>
                <w:sz w:val="14"/>
                <w:szCs w:val="14"/>
              </w:rPr>
              <w:t xml:space="preserve"> designados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Abril y diciembre de 2019</w:t>
            </w:r>
          </w:p>
        </w:tc>
      </w:tr>
      <w:tr w:rsidR="00CA336D" w:rsidTr="005737B8">
        <w:trPr>
          <w:trHeight w:hRule="exact" w:val="417"/>
          <w:jc w:val="center"/>
        </w:trPr>
        <w:tc>
          <w:tcPr>
            <w:tcW w:w="2415" w:type="dxa"/>
            <w:vMerge w:val="restart"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Subcomponente 3</w:t>
            </w:r>
          </w:p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Incentivos para motivar la cultura de la rendición y petición de cuentas</w:t>
            </w: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3.1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Ejecución: Capacitar a los funcionarios sobre la importancia de realizar rendiciones de cuentas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Capacitaciones ejecutadas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Equipo de Trabajo de la Rendición de Cuentas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10462E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Marzo</w:t>
            </w:r>
            <w:r w:rsidR="00BB0941" w:rsidRPr="00CA336D">
              <w:rPr>
                <w:rFonts w:ascii="Arial" w:hAnsi="Arial" w:cs="Arial"/>
                <w:color w:val="363435"/>
                <w:sz w:val="14"/>
                <w:szCs w:val="14"/>
              </w:rPr>
              <w:t xml:space="preserve"> de 2019</w:t>
            </w:r>
          </w:p>
        </w:tc>
      </w:tr>
      <w:tr w:rsidR="00CA336D" w:rsidTr="005737B8">
        <w:trPr>
          <w:trHeight w:hRule="exact" w:val="553"/>
          <w:jc w:val="center"/>
        </w:trPr>
        <w:tc>
          <w:tcPr>
            <w:tcW w:w="2415" w:type="dxa"/>
            <w:vMerge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3.2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Ejecución: Capacitar a los grupos de valor sobre la importancia de participar en las rendiciones de cuentas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Capacitaciones ejecutadas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Equipo de Trabajo de la Rendición de Cuentas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10462E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Junio</w:t>
            </w:r>
            <w:r w:rsidR="00BB0941" w:rsidRPr="00CA336D">
              <w:rPr>
                <w:rFonts w:ascii="Arial" w:hAnsi="Arial" w:cs="Arial"/>
                <w:color w:val="363435"/>
                <w:sz w:val="14"/>
                <w:szCs w:val="14"/>
              </w:rPr>
              <w:t xml:space="preserve"> de 2019</w:t>
            </w:r>
          </w:p>
        </w:tc>
      </w:tr>
      <w:tr w:rsidR="00BB0941" w:rsidTr="0079594E">
        <w:trPr>
          <w:trHeight w:hRule="exact" w:val="714"/>
          <w:jc w:val="center"/>
        </w:trPr>
        <w:tc>
          <w:tcPr>
            <w:tcW w:w="2415" w:type="dxa"/>
            <w:shd w:val="clear" w:color="auto" w:fill="E5E6E7"/>
            <w:vAlign w:val="center"/>
          </w:tcPr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Subcomponente 4</w:t>
            </w:r>
          </w:p>
          <w:p w:rsidR="00BB0941" w:rsidRPr="00CA336D" w:rsidRDefault="00BB0941" w:rsidP="00CA336D">
            <w:pPr>
              <w:jc w:val="center"/>
              <w:rPr>
                <w:rFonts w:ascii="Arial" w:hAnsi="Arial" w:cs="Arial"/>
                <w:b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 xml:space="preserve">Evaluación y retroalimentación </w:t>
            </w:r>
            <w:proofErr w:type="gramStart"/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>a  la</w:t>
            </w:r>
            <w:proofErr w:type="gramEnd"/>
            <w:r w:rsidRPr="00CA336D">
              <w:rPr>
                <w:rFonts w:ascii="Arial" w:hAnsi="Arial" w:cs="Arial"/>
                <w:b/>
                <w:color w:val="363435"/>
                <w:sz w:val="14"/>
                <w:szCs w:val="14"/>
              </w:rPr>
              <w:t xml:space="preserve"> gestión institucional</w:t>
            </w:r>
          </w:p>
        </w:tc>
        <w:tc>
          <w:tcPr>
            <w:tcW w:w="851" w:type="dxa"/>
            <w:vAlign w:val="center"/>
          </w:tcPr>
          <w:p w:rsidR="00BB0941" w:rsidRPr="00CA336D" w:rsidRDefault="00BB0941" w:rsidP="00CA336D">
            <w:pPr>
              <w:spacing w:before="60"/>
              <w:ind w:left="234" w:right="234"/>
              <w:jc w:val="center"/>
              <w:rPr>
                <w:sz w:val="14"/>
                <w:szCs w:val="14"/>
              </w:rPr>
            </w:pPr>
            <w:r w:rsidRPr="00CA336D">
              <w:rPr>
                <w:color w:val="363435"/>
                <w:w w:val="123"/>
                <w:sz w:val="14"/>
                <w:szCs w:val="14"/>
              </w:rPr>
              <w:t>4.1</w:t>
            </w:r>
          </w:p>
        </w:tc>
        <w:tc>
          <w:tcPr>
            <w:tcW w:w="5389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Seguimiento y Evaluación: Recopilar, sistematizar y analizar periódicamente las propuestas y observaciones efectuadas por la ciudadanía en el proceso de rendición de cuentas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Propuestas y observaciones analizadas</w:t>
            </w:r>
          </w:p>
        </w:tc>
        <w:tc>
          <w:tcPr>
            <w:tcW w:w="4958" w:type="dxa"/>
            <w:shd w:val="clear" w:color="000000" w:fill="FFFFFF"/>
            <w:vAlign w:val="center"/>
          </w:tcPr>
          <w:p w:rsidR="00BB0941" w:rsidRPr="00CA336D" w:rsidRDefault="00BB0941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CA336D">
              <w:rPr>
                <w:rFonts w:ascii="Arial" w:hAnsi="Arial" w:cs="Arial"/>
                <w:color w:val="363435"/>
                <w:sz w:val="14"/>
                <w:szCs w:val="14"/>
              </w:rPr>
              <w:t>Equipo de Trabajo de la Rendición de Cuentas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0941" w:rsidRPr="00CA336D" w:rsidRDefault="0010462E" w:rsidP="00CA336D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4"/>
                <w:szCs w:val="14"/>
              </w:rPr>
            </w:pPr>
            <w:r w:rsidRPr="0010462E">
              <w:rPr>
                <w:rFonts w:ascii="Arial" w:hAnsi="Arial" w:cs="Arial"/>
                <w:color w:val="363435"/>
                <w:sz w:val="14"/>
                <w:szCs w:val="14"/>
              </w:rPr>
              <w:t>Cuatrimestral</w:t>
            </w:r>
          </w:p>
        </w:tc>
      </w:tr>
    </w:tbl>
    <w:p w:rsidR="00847AF1" w:rsidRPr="00847AF1" w:rsidRDefault="00847AF1" w:rsidP="004519FE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847AF1" w:rsidRPr="00847AF1" w:rsidSect="008D00C5">
      <w:headerReference w:type="default" r:id="rId10"/>
      <w:pgSz w:w="20160" w:h="12240" w:orient="landscape" w:code="5"/>
      <w:pgMar w:top="1985" w:right="241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109" w:rsidRDefault="00BE5109" w:rsidP="00DF74F5">
      <w:pPr>
        <w:spacing w:after="0" w:line="240" w:lineRule="auto"/>
      </w:pPr>
      <w:r>
        <w:separator/>
      </w:r>
    </w:p>
  </w:endnote>
  <w:endnote w:type="continuationSeparator" w:id="0">
    <w:p w:rsidR="00BE5109" w:rsidRDefault="00BE5109" w:rsidP="00D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4E" w:rsidRDefault="0079594E">
    <w:pPr>
      <w:pStyle w:val="Piedepgina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-236855</wp:posOffset>
          </wp:positionV>
          <wp:extent cx="6010275" cy="767715"/>
          <wp:effectExtent l="0" t="0" r="9525" b="0"/>
          <wp:wrapThrough wrapText="bothSides">
            <wp:wrapPolygon edited="0">
              <wp:start x="0" y="0"/>
              <wp:lineTo x="0" y="20903"/>
              <wp:lineTo x="21566" y="20903"/>
              <wp:lineTo x="21566" y="0"/>
              <wp:lineTo x="0" y="0"/>
            </wp:wrapPolygon>
          </wp:wrapThrough>
          <wp:docPr id="2115" name="Imagen 2115" descr="F:\Carlos A\Escritori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Carlos A\Escritorio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594E" w:rsidRDefault="00795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109" w:rsidRDefault="00BE5109" w:rsidP="00DF74F5">
      <w:pPr>
        <w:spacing w:after="0" w:line="240" w:lineRule="auto"/>
      </w:pPr>
      <w:r>
        <w:separator/>
      </w:r>
    </w:p>
  </w:footnote>
  <w:footnote w:type="continuationSeparator" w:id="0">
    <w:p w:rsidR="00BE5109" w:rsidRDefault="00BE5109" w:rsidP="00DF74F5">
      <w:pPr>
        <w:spacing w:after="0" w:line="240" w:lineRule="auto"/>
      </w:pPr>
      <w:r>
        <w:continuationSeparator/>
      </w:r>
    </w:p>
  </w:footnote>
  <w:footnote w:id="1">
    <w:p w:rsidR="0079594E" w:rsidRPr="003415B5" w:rsidRDefault="0079594E" w:rsidP="003415B5">
      <w:pPr>
        <w:pStyle w:val="Textonotapie"/>
        <w:jc w:val="both"/>
        <w:rPr>
          <w:sz w:val="16"/>
          <w:szCs w:val="16"/>
          <w:lang w:val="es-MX"/>
        </w:rPr>
      </w:pPr>
      <w:r w:rsidRPr="003415B5">
        <w:rPr>
          <w:rStyle w:val="Refdenotaalpie"/>
          <w:sz w:val="16"/>
          <w:szCs w:val="16"/>
        </w:rPr>
        <w:footnoteRef/>
      </w:r>
      <w:r w:rsidRPr="003415B5">
        <w:rPr>
          <w:sz w:val="16"/>
          <w:szCs w:val="16"/>
        </w:rPr>
        <w:t xml:space="preserve"> </w:t>
      </w:r>
      <w:proofErr w:type="spellStart"/>
      <w:r w:rsidRPr="003415B5">
        <w:rPr>
          <w:sz w:val="16"/>
          <w:szCs w:val="16"/>
        </w:rPr>
        <w:t>Conpes</w:t>
      </w:r>
      <w:proofErr w:type="spellEnd"/>
      <w:r w:rsidRPr="003415B5">
        <w:rPr>
          <w:sz w:val="16"/>
          <w:szCs w:val="16"/>
        </w:rPr>
        <w:t xml:space="preserve"> 3654 de 2010: “Política de Rendición de Cuentas de la Rama Ejecutiva a los Ciudadanos.”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4E" w:rsidRPr="004519FE" w:rsidRDefault="0079594E" w:rsidP="004519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4.25pt" o:bullet="t">
        <v:imagedata r:id="rId1" o:title="msoC2FA"/>
      </v:shape>
    </w:pict>
  </w:numPicBullet>
  <w:abstractNum w:abstractNumId="0" w15:restartNumberingAfterBreak="0">
    <w:nsid w:val="0BDB0433"/>
    <w:multiLevelType w:val="hybridMultilevel"/>
    <w:tmpl w:val="EC44823C"/>
    <w:lvl w:ilvl="0" w:tplc="B79A2CCC"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E3259C"/>
    <w:multiLevelType w:val="hybridMultilevel"/>
    <w:tmpl w:val="3BA0FB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044B"/>
    <w:multiLevelType w:val="hybridMultilevel"/>
    <w:tmpl w:val="C054E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5A6B"/>
    <w:multiLevelType w:val="hybridMultilevel"/>
    <w:tmpl w:val="613EDD88"/>
    <w:lvl w:ilvl="0" w:tplc="0C0A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0440"/>
    <w:multiLevelType w:val="hybridMultilevel"/>
    <w:tmpl w:val="641014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482F"/>
    <w:multiLevelType w:val="hybridMultilevel"/>
    <w:tmpl w:val="F44E1BDE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243677"/>
    <w:multiLevelType w:val="hybridMultilevel"/>
    <w:tmpl w:val="690E9B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450A2"/>
    <w:multiLevelType w:val="hybridMultilevel"/>
    <w:tmpl w:val="5338084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E197E"/>
    <w:multiLevelType w:val="hybridMultilevel"/>
    <w:tmpl w:val="AEAC9722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2D0CD1"/>
    <w:multiLevelType w:val="hybridMultilevel"/>
    <w:tmpl w:val="086084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E7E37"/>
    <w:multiLevelType w:val="hybridMultilevel"/>
    <w:tmpl w:val="A5AAD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249A5"/>
    <w:multiLevelType w:val="hybridMultilevel"/>
    <w:tmpl w:val="51EACDA8"/>
    <w:lvl w:ilvl="0" w:tplc="0F626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87A33"/>
    <w:multiLevelType w:val="hybridMultilevel"/>
    <w:tmpl w:val="E3944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F5"/>
    <w:rsid w:val="00015EB2"/>
    <w:rsid w:val="00021323"/>
    <w:rsid w:val="00022796"/>
    <w:rsid w:val="00031DDE"/>
    <w:rsid w:val="00040EC0"/>
    <w:rsid w:val="0004237F"/>
    <w:rsid w:val="000440AE"/>
    <w:rsid w:val="000516A7"/>
    <w:rsid w:val="00051ECB"/>
    <w:rsid w:val="00072F0B"/>
    <w:rsid w:val="00081302"/>
    <w:rsid w:val="00084ED2"/>
    <w:rsid w:val="00085C75"/>
    <w:rsid w:val="000939C7"/>
    <w:rsid w:val="00095C14"/>
    <w:rsid w:val="00097DBD"/>
    <w:rsid w:val="000A3CE0"/>
    <w:rsid w:val="000A6701"/>
    <w:rsid w:val="000A77D7"/>
    <w:rsid w:val="000B6524"/>
    <w:rsid w:val="000D383B"/>
    <w:rsid w:val="000D702D"/>
    <w:rsid w:val="000E0FEE"/>
    <w:rsid w:val="000E38E4"/>
    <w:rsid w:val="000F44D4"/>
    <w:rsid w:val="0010386E"/>
    <w:rsid w:val="0010462E"/>
    <w:rsid w:val="00111F1B"/>
    <w:rsid w:val="00116B6B"/>
    <w:rsid w:val="00121F78"/>
    <w:rsid w:val="001305E7"/>
    <w:rsid w:val="00131F7C"/>
    <w:rsid w:val="00143D3F"/>
    <w:rsid w:val="001444BD"/>
    <w:rsid w:val="00144AB2"/>
    <w:rsid w:val="00150A4C"/>
    <w:rsid w:val="00151D85"/>
    <w:rsid w:val="00151E64"/>
    <w:rsid w:val="00153979"/>
    <w:rsid w:val="00153C2C"/>
    <w:rsid w:val="001649A3"/>
    <w:rsid w:val="001837F9"/>
    <w:rsid w:val="0019598B"/>
    <w:rsid w:val="001A3108"/>
    <w:rsid w:val="001A76EA"/>
    <w:rsid w:val="001B47C9"/>
    <w:rsid w:val="001C48B0"/>
    <w:rsid w:val="001C5EE9"/>
    <w:rsid w:val="001D4904"/>
    <w:rsid w:val="001D4B6B"/>
    <w:rsid w:val="001D64A5"/>
    <w:rsid w:val="001E1AF5"/>
    <w:rsid w:val="001E2F98"/>
    <w:rsid w:val="001E476A"/>
    <w:rsid w:val="001E6176"/>
    <w:rsid w:val="001E702B"/>
    <w:rsid w:val="0020034E"/>
    <w:rsid w:val="00201587"/>
    <w:rsid w:val="002030E5"/>
    <w:rsid w:val="00204932"/>
    <w:rsid w:val="002057EA"/>
    <w:rsid w:val="0021047F"/>
    <w:rsid w:val="00214B43"/>
    <w:rsid w:val="00224F8F"/>
    <w:rsid w:val="00231151"/>
    <w:rsid w:val="00233C99"/>
    <w:rsid w:val="002452ED"/>
    <w:rsid w:val="00255871"/>
    <w:rsid w:val="00255C9B"/>
    <w:rsid w:val="00262182"/>
    <w:rsid w:val="002643CF"/>
    <w:rsid w:val="00266F7E"/>
    <w:rsid w:val="002715AC"/>
    <w:rsid w:val="002716E6"/>
    <w:rsid w:val="002737FE"/>
    <w:rsid w:val="002803FB"/>
    <w:rsid w:val="002812E7"/>
    <w:rsid w:val="002944F2"/>
    <w:rsid w:val="002A1033"/>
    <w:rsid w:val="002A10BE"/>
    <w:rsid w:val="002B1B3E"/>
    <w:rsid w:val="002B7581"/>
    <w:rsid w:val="002D644C"/>
    <w:rsid w:val="002E479A"/>
    <w:rsid w:val="002F23C9"/>
    <w:rsid w:val="00301808"/>
    <w:rsid w:val="003131C7"/>
    <w:rsid w:val="00322DD2"/>
    <w:rsid w:val="00323BDC"/>
    <w:rsid w:val="003241F3"/>
    <w:rsid w:val="0032538E"/>
    <w:rsid w:val="00333472"/>
    <w:rsid w:val="00337CC7"/>
    <w:rsid w:val="003415B5"/>
    <w:rsid w:val="0034218E"/>
    <w:rsid w:val="00351F13"/>
    <w:rsid w:val="00353A66"/>
    <w:rsid w:val="00355A70"/>
    <w:rsid w:val="00355E03"/>
    <w:rsid w:val="00357EDC"/>
    <w:rsid w:val="00361140"/>
    <w:rsid w:val="00366C7B"/>
    <w:rsid w:val="0037028B"/>
    <w:rsid w:val="0038373F"/>
    <w:rsid w:val="00384930"/>
    <w:rsid w:val="00391AAA"/>
    <w:rsid w:val="003A5B4D"/>
    <w:rsid w:val="003A70D4"/>
    <w:rsid w:val="003A75F4"/>
    <w:rsid w:val="003C1041"/>
    <w:rsid w:val="003C25A2"/>
    <w:rsid w:val="003D5DCC"/>
    <w:rsid w:val="003D75E4"/>
    <w:rsid w:val="003E2E8E"/>
    <w:rsid w:val="003E5C7C"/>
    <w:rsid w:val="003E7A2C"/>
    <w:rsid w:val="003F3AC7"/>
    <w:rsid w:val="003F6983"/>
    <w:rsid w:val="003F75CF"/>
    <w:rsid w:val="00401AD0"/>
    <w:rsid w:val="00403E56"/>
    <w:rsid w:val="00407A41"/>
    <w:rsid w:val="00412D83"/>
    <w:rsid w:val="00420FA0"/>
    <w:rsid w:val="00432A39"/>
    <w:rsid w:val="00434169"/>
    <w:rsid w:val="00436A61"/>
    <w:rsid w:val="004401C1"/>
    <w:rsid w:val="00445553"/>
    <w:rsid w:val="004519FE"/>
    <w:rsid w:val="0045628B"/>
    <w:rsid w:val="00467E73"/>
    <w:rsid w:val="0047145E"/>
    <w:rsid w:val="00473D87"/>
    <w:rsid w:val="004746DA"/>
    <w:rsid w:val="00477A8A"/>
    <w:rsid w:val="004829E8"/>
    <w:rsid w:val="00492844"/>
    <w:rsid w:val="004948B6"/>
    <w:rsid w:val="004A25A5"/>
    <w:rsid w:val="004A458B"/>
    <w:rsid w:val="004A4842"/>
    <w:rsid w:val="004C185C"/>
    <w:rsid w:val="004C18C3"/>
    <w:rsid w:val="004C6E51"/>
    <w:rsid w:val="004E17EA"/>
    <w:rsid w:val="004E1938"/>
    <w:rsid w:val="004E5F63"/>
    <w:rsid w:val="004F30EE"/>
    <w:rsid w:val="004F6352"/>
    <w:rsid w:val="0050513D"/>
    <w:rsid w:val="00507539"/>
    <w:rsid w:val="00510C52"/>
    <w:rsid w:val="00522AD7"/>
    <w:rsid w:val="005242A2"/>
    <w:rsid w:val="00525BE4"/>
    <w:rsid w:val="00525D5A"/>
    <w:rsid w:val="00532FC7"/>
    <w:rsid w:val="00536FDF"/>
    <w:rsid w:val="00541A49"/>
    <w:rsid w:val="00543DB9"/>
    <w:rsid w:val="00545A4F"/>
    <w:rsid w:val="00550738"/>
    <w:rsid w:val="005531B9"/>
    <w:rsid w:val="005553CB"/>
    <w:rsid w:val="005555CB"/>
    <w:rsid w:val="00555A28"/>
    <w:rsid w:val="0055603C"/>
    <w:rsid w:val="00563161"/>
    <w:rsid w:val="005637C4"/>
    <w:rsid w:val="005737B8"/>
    <w:rsid w:val="00574ECB"/>
    <w:rsid w:val="00576C85"/>
    <w:rsid w:val="00577955"/>
    <w:rsid w:val="005800AD"/>
    <w:rsid w:val="00581223"/>
    <w:rsid w:val="00581BD4"/>
    <w:rsid w:val="0058202D"/>
    <w:rsid w:val="00583C5C"/>
    <w:rsid w:val="00584BD8"/>
    <w:rsid w:val="0058542D"/>
    <w:rsid w:val="00590DCB"/>
    <w:rsid w:val="00592F21"/>
    <w:rsid w:val="00594B17"/>
    <w:rsid w:val="005A2906"/>
    <w:rsid w:val="005A2B36"/>
    <w:rsid w:val="005A7B92"/>
    <w:rsid w:val="005B51CA"/>
    <w:rsid w:val="005C4AFC"/>
    <w:rsid w:val="005D667F"/>
    <w:rsid w:val="005E5475"/>
    <w:rsid w:val="005E67B8"/>
    <w:rsid w:val="005E70B3"/>
    <w:rsid w:val="005F3B55"/>
    <w:rsid w:val="005F5460"/>
    <w:rsid w:val="005F7D09"/>
    <w:rsid w:val="006015EC"/>
    <w:rsid w:val="00604C8C"/>
    <w:rsid w:val="006072D9"/>
    <w:rsid w:val="00614D19"/>
    <w:rsid w:val="00617F22"/>
    <w:rsid w:val="00621F60"/>
    <w:rsid w:val="006248E8"/>
    <w:rsid w:val="00631035"/>
    <w:rsid w:val="00640178"/>
    <w:rsid w:val="00642CFF"/>
    <w:rsid w:val="0065013D"/>
    <w:rsid w:val="00651ED0"/>
    <w:rsid w:val="006562B2"/>
    <w:rsid w:val="0066124A"/>
    <w:rsid w:val="006634DA"/>
    <w:rsid w:val="00687693"/>
    <w:rsid w:val="00692344"/>
    <w:rsid w:val="00692616"/>
    <w:rsid w:val="006A2DFF"/>
    <w:rsid w:val="006B25AF"/>
    <w:rsid w:val="006C0C52"/>
    <w:rsid w:val="006C1D3B"/>
    <w:rsid w:val="006D2851"/>
    <w:rsid w:val="006D3C69"/>
    <w:rsid w:val="006F2550"/>
    <w:rsid w:val="006F2C3F"/>
    <w:rsid w:val="006F52D2"/>
    <w:rsid w:val="006F7EC8"/>
    <w:rsid w:val="00713082"/>
    <w:rsid w:val="007132F4"/>
    <w:rsid w:val="007228EA"/>
    <w:rsid w:val="00727049"/>
    <w:rsid w:val="007404CD"/>
    <w:rsid w:val="0074087E"/>
    <w:rsid w:val="0074574F"/>
    <w:rsid w:val="00746A44"/>
    <w:rsid w:val="007525C4"/>
    <w:rsid w:val="0075795F"/>
    <w:rsid w:val="0076229B"/>
    <w:rsid w:val="00775AF7"/>
    <w:rsid w:val="00777F02"/>
    <w:rsid w:val="00784E83"/>
    <w:rsid w:val="00787B71"/>
    <w:rsid w:val="00791CD2"/>
    <w:rsid w:val="0079594E"/>
    <w:rsid w:val="007A3CB9"/>
    <w:rsid w:val="007B110A"/>
    <w:rsid w:val="007D0EA8"/>
    <w:rsid w:val="007E04F0"/>
    <w:rsid w:val="007E10CB"/>
    <w:rsid w:val="007E54F0"/>
    <w:rsid w:val="007F05DB"/>
    <w:rsid w:val="0081065A"/>
    <w:rsid w:val="00810E19"/>
    <w:rsid w:val="00811E25"/>
    <w:rsid w:val="00811F05"/>
    <w:rsid w:val="008164AD"/>
    <w:rsid w:val="00820F44"/>
    <w:rsid w:val="008244BB"/>
    <w:rsid w:val="008304E6"/>
    <w:rsid w:val="0083640E"/>
    <w:rsid w:val="008408B8"/>
    <w:rsid w:val="00840BCA"/>
    <w:rsid w:val="00847AF1"/>
    <w:rsid w:val="008537F5"/>
    <w:rsid w:val="0085387D"/>
    <w:rsid w:val="00857CAF"/>
    <w:rsid w:val="00861D3E"/>
    <w:rsid w:val="008628C0"/>
    <w:rsid w:val="00863C12"/>
    <w:rsid w:val="008644DE"/>
    <w:rsid w:val="00871EA1"/>
    <w:rsid w:val="008765AB"/>
    <w:rsid w:val="00877E73"/>
    <w:rsid w:val="00882349"/>
    <w:rsid w:val="00885ECA"/>
    <w:rsid w:val="00897822"/>
    <w:rsid w:val="008A323D"/>
    <w:rsid w:val="008A3C0C"/>
    <w:rsid w:val="008A3D04"/>
    <w:rsid w:val="008B6F56"/>
    <w:rsid w:val="008C1D6D"/>
    <w:rsid w:val="008C65CD"/>
    <w:rsid w:val="008D00C5"/>
    <w:rsid w:val="008E5508"/>
    <w:rsid w:val="008F10D3"/>
    <w:rsid w:val="008F1AE6"/>
    <w:rsid w:val="008F1DF6"/>
    <w:rsid w:val="0090204F"/>
    <w:rsid w:val="0090505B"/>
    <w:rsid w:val="00912464"/>
    <w:rsid w:val="00922372"/>
    <w:rsid w:val="00927515"/>
    <w:rsid w:val="00942776"/>
    <w:rsid w:val="009452DF"/>
    <w:rsid w:val="00945D62"/>
    <w:rsid w:val="00946EFE"/>
    <w:rsid w:val="00953E74"/>
    <w:rsid w:val="00956D40"/>
    <w:rsid w:val="00957ABF"/>
    <w:rsid w:val="0096135F"/>
    <w:rsid w:val="00963BBF"/>
    <w:rsid w:val="00963DE3"/>
    <w:rsid w:val="00970E9D"/>
    <w:rsid w:val="00972708"/>
    <w:rsid w:val="00996500"/>
    <w:rsid w:val="00996D46"/>
    <w:rsid w:val="00996E95"/>
    <w:rsid w:val="009A02CE"/>
    <w:rsid w:val="009A2DF0"/>
    <w:rsid w:val="009A43FE"/>
    <w:rsid w:val="009B2454"/>
    <w:rsid w:val="009B63E9"/>
    <w:rsid w:val="009C0E9E"/>
    <w:rsid w:val="009D4EE1"/>
    <w:rsid w:val="009F36C3"/>
    <w:rsid w:val="009F54DC"/>
    <w:rsid w:val="00A04538"/>
    <w:rsid w:val="00A07883"/>
    <w:rsid w:val="00A10C3C"/>
    <w:rsid w:val="00A12081"/>
    <w:rsid w:val="00A2454C"/>
    <w:rsid w:val="00A31D8E"/>
    <w:rsid w:val="00A33CB4"/>
    <w:rsid w:val="00A351BC"/>
    <w:rsid w:val="00A421AF"/>
    <w:rsid w:val="00A53A95"/>
    <w:rsid w:val="00A53F40"/>
    <w:rsid w:val="00A600BD"/>
    <w:rsid w:val="00A624B9"/>
    <w:rsid w:val="00A71994"/>
    <w:rsid w:val="00A81EA9"/>
    <w:rsid w:val="00A848D2"/>
    <w:rsid w:val="00A90FD9"/>
    <w:rsid w:val="00AA440C"/>
    <w:rsid w:val="00AB260F"/>
    <w:rsid w:val="00AB335F"/>
    <w:rsid w:val="00AB52BE"/>
    <w:rsid w:val="00AC0CAC"/>
    <w:rsid w:val="00AC23D8"/>
    <w:rsid w:val="00AC3D18"/>
    <w:rsid w:val="00AD76E1"/>
    <w:rsid w:val="00AE4471"/>
    <w:rsid w:val="00AF026D"/>
    <w:rsid w:val="00AF1ECC"/>
    <w:rsid w:val="00AF75FC"/>
    <w:rsid w:val="00B011D6"/>
    <w:rsid w:val="00B0143D"/>
    <w:rsid w:val="00B015DE"/>
    <w:rsid w:val="00B0645D"/>
    <w:rsid w:val="00B25CF6"/>
    <w:rsid w:val="00B41E32"/>
    <w:rsid w:val="00B44007"/>
    <w:rsid w:val="00B4467B"/>
    <w:rsid w:val="00B44B7C"/>
    <w:rsid w:val="00B44BAF"/>
    <w:rsid w:val="00B569C3"/>
    <w:rsid w:val="00B601EF"/>
    <w:rsid w:val="00B67776"/>
    <w:rsid w:val="00B749CD"/>
    <w:rsid w:val="00B758E1"/>
    <w:rsid w:val="00B76FEB"/>
    <w:rsid w:val="00B77EDC"/>
    <w:rsid w:val="00B83FBA"/>
    <w:rsid w:val="00B924A5"/>
    <w:rsid w:val="00B947AF"/>
    <w:rsid w:val="00BA6CA6"/>
    <w:rsid w:val="00BB0941"/>
    <w:rsid w:val="00BB76EF"/>
    <w:rsid w:val="00BC3AC2"/>
    <w:rsid w:val="00BC4001"/>
    <w:rsid w:val="00BD0B19"/>
    <w:rsid w:val="00BD2162"/>
    <w:rsid w:val="00BD76C7"/>
    <w:rsid w:val="00BE3227"/>
    <w:rsid w:val="00BE5109"/>
    <w:rsid w:val="00BE72CE"/>
    <w:rsid w:val="00BF2892"/>
    <w:rsid w:val="00BF4BB9"/>
    <w:rsid w:val="00C15355"/>
    <w:rsid w:val="00C15934"/>
    <w:rsid w:val="00C210E6"/>
    <w:rsid w:val="00C2557D"/>
    <w:rsid w:val="00C32568"/>
    <w:rsid w:val="00C358CC"/>
    <w:rsid w:val="00C473A6"/>
    <w:rsid w:val="00C52117"/>
    <w:rsid w:val="00C67ECB"/>
    <w:rsid w:val="00C97FCE"/>
    <w:rsid w:val="00CA336D"/>
    <w:rsid w:val="00CA457A"/>
    <w:rsid w:val="00CA53CF"/>
    <w:rsid w:val="00CC7047"/>
    <w:rsid w:val="00CD07A8"/>
    <w:rsid w:val="00CD0F32"/>
    <w:rsid w:val="00CD3AFE"/>
    <w:rsid w:val="00CE7DC5"/>
    <w:rsid w:val="00CF4A6B"/>
    <w:rsid w:val="00CF4EB8"/>
    <w:rsid w:val="00CF5945"/>
    <w:rsid w:val="00CF6FAE"/>
    <w:rsid w:val="00D0354F"/>
    <w:rsid w:val="00D072EA"/>
    <w:rsid w:val="00D12DB6"/>
    <w:rsid w:val="00D16E31"/>
    <w:rsid w:val="00D22822"/>
    <w:rsid w:val="00D27F08"/>
    <w:rsid w:val="00D31B42"/>
    <w:rsid w:val="00D33D0F"/>
    <w:rsid w:val="00D35A2D"/>
    <w:rsid w:val="00D4068F"/>
    <w:rsid w:val="00D417E8"/>
    <w:rsid w:val="00D42D08"/>
    <w:rsid w:val="00D52C76"/>
    <w:rsid w:val="00D56180"/>
    <w:rsid w:val="00D6273B"/>
    <w:rsid w:val="00D77BB8"/>
    <w:rsid w:val="00D84427"/>
    <w:rsid w:val="00D904F2"/>
    <w:rsid w:val="00D927A0"/>
    <w:rsid w:val="00D94A45"/>
    <w:rsid w:val="00DA032B"/>
    <w:rsid w:val="00DA23E4"/>
    <w:rsid w:val="00DB361A"/>
    <w:rsid w:val="00DC1DD8"/>
    <w:rsid w:val="00DC3207"/>
    <w:rsid w:val="00DD1F26"/>
    <w:rsid w:val="00DD275B"/>
    <w:rsid w:val="00DF048C"/>
    <w:rsid w:val="00DF1B81"/>
    <w:rsid w:val="00DF310C"/>
    <w:rsid w:val="00DF74F5"/>
    <w:rsid w:val="00E01017"/>
    <w:rsid w:val="00E052F0"/>
    <w:rsid w:val="00E129EA"/>
    <w:rsid w:val="00E16F84"/>
    <w:rsid w:val="00E22A51"/>
    <w:rsid w:val="00E2374B"/>
    <w:rsid w:val="00E328AC"/>
    <w:rsid w:val="00E501C4"/>
    <w:rsid w:val="00E50F6F"/>
    <w:rsid w:val="00E60DA7"/>
    <w:rsid w:val="00E64AD7"/>
    <w:rsid w:val="00E66B3C"/>
    <w:rsid w:val="00E8019A"/>
    <w:rsid w:val="00E80A33"/>
    <w:rsid w:val="00E828D2"/>
    <w:rsid w:val="00E82AB1"/>
    <w:rsid w:val="00E876BE"/>
    <w:rsid w:val="00E87AD6"/>
    <w:rsid w:val="00E9035F"/>
    <w:rsid w:val="00E93F1D"/>
    <w:rsid w:val="00E943B9"/>
    <w:rsid w:val="00E95DAF"/>
    <w:rsid w:val="00E964D4"/>
    <w:rsid w:val="00EA0532"/>
    <w:rsid w:val="00EA5137"/>
    <w:rsid w:val="00EB0742"/>
    <w:rsid w:val="00EB1C7B"/>
    <w:rsid w:val="00EB1FFF"/>
    <w:rsid w:val="00EB3033"/>
    <w:rsid w:val="00EC02B3"/>
    <w:rsid w:val="00EC30B7"/>
    <w:rsid w:val="00ED7350"/>
    <w:rsid w:val="00ED7A36"/>
    <w:rsid w:val="00EE034F"/>
    <w:rsid w:val="00EE4BCA"/>
    <w:rsid w:val="00EF330E"/>
    <w:rsid w:val="00EF57D3"/>
    <w:rsid w:val="00F003F9"/>
    <w:rsid w:val="00F077E0"/>
    <w:rsid w:val="00F15924"/>
    <w:rsid w:val="00F2002D"/>
    <w:rsid w:val="00F20306"/>
    <w:rsid w:val="00F27F48"/>
    <w:rsid w:val="00F309B1"/>
    <w:rsid w:val="00F403CB"/>
    <w:rsid w:val="00F436D5"/>
    <w:rsid w:val="00F612A8"/>
    <w:rsid w:val="00F804D1"/>
    <w:rsid w:val="00F82BAE"/>
    <w:rsid w:val="00F858A3"/>
    <w:rsid w:val="00F91F1C"/>
    <w:rsid w:val="00F947C6"/>
    <w:rsid w:val="00FA1145"/>
    <w:rsid w:val="00FA2E80"/>
    <w:rsid w:val="00FA5818"/>
    <w:rsid w:val="00FB0233"/>
    <w:rsid w:val="00FB5EB1"/>
    <w:rsid w:val="00FC0A5F"/>
    <w:rsid w:val="00FC60C9"/>
    <w:rsid w:val="00FC7552"/>
    <w:rsid w:val="00FE65CC"/>
    <w:rsid w:val="00FE7A56"/>
    <w:rsid w:val="00FF499B"/>
    <w:rsid w:val="00FF5CE8"/>
    <w:rsid w:val="00FF6F0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639529D-EF9B-4F85-8F7D-5A02D5DB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F5"/>
    <w:rPr>
      <w:rFonts w:ascii="Calibri" w:eastAsia="Calibri" w:hAnsi="Calibri" w:cs="Times New Roman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C358CC"/>
    <w:pPr>
      <w:keepNext/>
      <w:spacing w:before="240" w:after="60" w:line="240" w:lineRule="auto"/>
      <w:outlineLvl w:val="1"/>
    </w:pPr>
    <w:rPr>
      <w:rFonts w:ascii="Arial" w:hAnsi="Arial"/>
      <w:b/>
      <w:bCs/>
      <w:iCs/>
      <w:szCs w:val="28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4F5"/>
    <w:pPr>
      <w:widowControl w:val="0"/>
      <w:autoSpaceDE w:val="0"/>
      <w:autoSpaceDN w:val="0"/>
      <w:spacing w:after="0" w:line="240" w:lineRule="auto"/>
      <w:ind w:left="708"/>
    </w:pPr>
    <w:rPr>
      <w:rFonts w:ascii="Eras Demi ITC" w:eastAsia="Times New Roman" w:hAnsi="Eras Demi ITC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74F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4F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F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4F5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F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F5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BD"/>
    <w:rPr>
      <w:rFonts w:ascii="Tahoma" w:eastAsia="Calibri" w:hAnsi="Tahoma" w:cs="Tahoma"/>
      <w:sz w:val="16"/>
      <w:szCs w:val="16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rsid w:val="00C358CC"/>
    <w:rPr>
      <w:rFonts w:ascii="Arial" w:eastAsia="Calibri" w:hAnsi="Arial" w:cs="Times New Roman"/>
      <w:b/>
      <w:bCs/>
      <w:iCs/>
      <w:szCs w:val="28"/>
      <w:lang w:val="x-none" w:eastAsia="es-ES"/>
    </w:rPr>
  </w:style>
  <w:style w:type="paragraph" w:styleId="NormalWeb">
    <w:name w:val="Normal (Web)"/>
    <w:basedOn w:val="Normal"/>
    <w:uiPriority w:val="99"/>
    <w:rsid w:val="00C358CC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26"/>
      <w:szCs w:val="26"/>
      <w:lang w:val="es-ES" w:eastAsia="es-ES"/>
    </w:rPr>
  </w:style>
  <w:style w:type="paragraph" w:customStyle="1" w:styleId="Default">
    <w:name w:val="Default"/>
    <w:rsid w:val="008B6F56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8B6F5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52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52BE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B52B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924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924A5"/>
    <w:rPr>
      <w:rFonts w:ascii="Calibri" w:eastAsia="Calibri" w:hAnsi="Calibri" w:cs="Times New Roman"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B92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F419-84FD-428C-B5B3-36740F6E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Santodomingo V.</dc:creator>
  <cp:lastModifiedBy>Nancy Isabel Calvano Zuñiga</cp:lastModifiedBy>
  <cp:revision>5</cp:revision>
  <cp:lastPrinted>2019-01-31T16:06:00Z</cp:lastPrinted>
  <dcterms:created xsi:type="dcterms:W3CDTF">2019-08-20T20:30:00Z</dcterms:created>
  <dcterms:modified xsi:type="dcterms:W3CDTF">2019-08-29T16:39:00Z</dcterms:modified>
</cp:coreProperties>
</file>